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keepLines/>
        <w:spacing w:after="0" w:line="360" w:lineRule="auto"/>
        <w:jc w:val="both"/>
        <w:outlineLvl w:val="9"/>
        <w:rPr>
          <w:rFonts w:ascii="Times New Roman" w:hAnsi="Times New Roman" w:eastAsia="仿宋" w:cs="Times New Roman"/>
          <w:highlight w:val="none"/>
          <w:lang w:val="en-US" w:eastAsia="zh-CN"/>
        </w:rPr>
      </w:pPr>
      <w:bookmarkStart w:id="0" w:name="bookmark2"/>
      <w:bookmarkStart w:id="1" w:name="bookmark0"/>
      <w:bookmarkStart w:id="2" w:name="bookmark1"/>
      <w:bookmarkStart w:id="27" w:name="_GoBack"/>
      <w:r>
        <w:rPr>
          <w:rFonts w:ascii="Times New Roman" w:hAnsi="Times New Roman" w:eastAsia="黑体" w:cs="Times New Roman"/>
          <w:sz w:val="32"/>
          <w:highlight w:val="none"/>
          <w:lang w:val="en-US" w:eastAsia="zh-CN" w:bidi="ar-SA"/>
        </w:rPr>
        <w:drawing>
          <wp:anchor distT="0" distB="0" distL="114300" distR="114300" simplePos="0" relativeHeight="251661312" behindDoc="1" locked="0" layoutInCell="1" allowOverlap="1">
            <wp:simplePos x="0" y="0"/>
            <wp:positionH relativeFrom="column">
              <wp:posOffset>-863600</wp:posOffset>
            </wp:positionH>
            <wp:positionV relativeFrom="paragraph">
              <wp:posOffset>-886460</wp:posOffset>
            </wp:positionV>
            <wp:extent cx="2665730" cy="814070"/>
            <wp:effectExtent l="0" t="0" r="0" b="0"/>
            <wp:wrapThrough wrapText="bothSides">
              <wp:wrapPolygon>
                <wp:start x="3705" y="2426"/>
                <wp:lineTo x="3211" y="3639"/>
                <wp:lineTo x="2964" y="6066"/>
                <wp:lineTo x="3087" y="8896"/>
                <wp:lineTo x="1358" y="15366"/>
                <wp:lineTo x="864" y="16983"/>
                <wp:lineTo x="1358" y="18601"/>
                <wp:lineTo x="6174" y="19410"/>
                <wp:lineTo x="16671" y="19410"/>
                <wp:lineTo x="19511" y="18601"/>
                <wp:lineTo x="20499" y="17792"/>
                <wp:lineTo x="20622" y="10514"/>
                <wp:lineTo x="11855" y="8087"/>
                <wp:lineTo x="11855" y="4044"/>
                <wp:lineTo x="4446" y="2426"/>
                <wp:lineTo x="3705" y="2426"/>
              </wp:wrapPolygon>
            </wp:wrapThrough>
            <wp:docPr id="1" name="图片 1" descr="cune-logo-中英越-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ne-logo-中英越-07"/>
                    <pic:cNvPicPr>
                      <a:picLocks noChangeAspect="1"/>
                    </pic:cNvPicPr>
                  </pic:nvPicPr>
                  <pic:blipFill>
                    <a:blip r:embed="rId5"/>
                    <a:stretch>
                      <a:fillRect/>
                    </a:stretch>
                  </pic:blipFill>
                  <pic:spPr>
                    <a:xfrm>
                      <a:off x="0" y="0"/>
                      <a:ext cx="2665730" cy="814070"/>
                    </a:xfrm>
                    <a:prstGeom prst="rect">
                      <a:avLst/>
                    </a:prstGeom>
                  </pic:spPr>
                </pic:pic>
              </a:graphicData>
            </a:graphic>
          </wp:anchor>
        </w:drawing>
      </w:r>
    </w:p>
    <w:p>
      <w:pPr>
        <w:pStyle w:val="41"/>
        <w:jc w:val="center"/>
        <w:rPr>
          <w:rFonts w:ascii="Times New Roman" w:hAnsi="Times New Roman" w:eastAsia="楷体" w:cs="Times New Roman"/>
          <w:sz w:val="40"/>
          <w:szCs w:val="40"/>
          <w:highlight w:val="none"/>
        </w:rPr>
      </w:pPr>
      <w:bookmarkStart w:id="3" w:name="_Toc1118"/>
      <w:bookmarkStart w:id="4" w:name="_Toc156"/>
      <w:bookmarkStart w:id="5" w:name="_Toc14668"/>
    </w:p>
    <w:p>
      <w:pPr>
        <w:pStyle w:val="41"/>
        <w:jc w:val="center"/>
        <w:rPr>
          <w:rFonts w:ascii="Times New Roman" w:hAnsi="Times New Roman" w:eastAsia="楷体" w:cs="Times New Roman"/>
          <w:sz w:val="40"/>
          <w:szCs w:val="40"/>
          <w:highlight w:val="none"/>
        </w:rPr>
      </w:pPr>
      <w:r>
        <w:rPr>
          <w:rFonts w:hint="eastAsia" w:ascii="微软雅黑" w:hAnsi="微软雅黑" w:eastAsia="微软雅黑" w:cs="微软雅黑"/>
          <w:sz w:val="40"/>
          <w:szCs w:val="40"/>
          <w:highlight w:val="none"/>
        </w:rPr>
        <w:t>越南得乐风电项目</w:t>
      </w:r>
      <w:bookmarkEnd w:id="0"/>
      <w:bookmarkEnd w:id="1"/>
      <w:bookmarkEnd w:id="2"/>
      <w:bookmarkEnd w:id="3"/>
      <w:bookmarkEnd w:id="4"/>
      <w:bookmarkEnd w:id="5"/>
      <w:bookmarkStart w:id="6" w:name="bookmark3"/>
      <w:bookmarkStart w:id="7" w:name="bookmark5"/>
      <w:bookmarkStart w:id="8" w:name="bookmark4"/>
    </w:p>
    <w:p>
      <w:pPr>
        <w:pStyle w:val="41"/>
        <w:jc w:val="center"/>
        <w:rPr>
          <w:rFonts w:ascii="微软雅黑" w:hAnsi="微软雅黑" w:eastAsia="微软雅黑" w:cs="微软雅黑"/>
          <w:sz w:val="40"/>
          <w:szCs w:val="40"/>
          <w:highlight w:val="none"/>
        </w:rPr>
      </w:pPr>
      <w:bookmarkStart w:id="9" w:name="_Toc24816"/>
      <w:bookmarkStart w:id="10" w:name="_Toc15139"/>
      <w:bookmarkStart w:id="11" w:name="_Toc940"/>
      <w:r>
        <w:rPr>
          <w:rFonts w:hint="eastAsia" w:ascii="微软雅黑" w:hAnsi="微软雅黑" w:eastAsia="微软雅黑" w:cs="微软雅黑"/>
          <w:sz w:val="40"/>
          <w:szCs w:val="40"/>
          <w:highlight w:val="none"/>
        </w:rPr>
        <w:t>风机锚栓检测服务技术规范书</w:t>
      </w:r>
      <w:bookmarkEnd w:id="6"/>
      <w:bookmarkEnd w:id="7"/>
      <w:bookmarkEnd w:id="8"/>
      <w:bookmarkEnd w:id="9"/>
      <w:bookmarkEnd w:id="10"/>
      <w:bookmarkEnd w:id="11"/>
    </w:p>
    <w:p>
      <w:pPr>
        <w:pStyle w:val="41"/>
        <w:jc w:val="center"/>
        <w:rPr>
          <w:rFonts w:ascii="Times New Roman" w:hAnsi="Times New Roman" w:eastAsia="楷体" w:cs="Times New Roman"/>
          <w:sz w:val="40"/>
          <w:szCs w:val="40"/>
          <w:highlight w:val="none"/>
          <w:lang w:val="vi-VN"/>
        </w:rPr>
      </w:pPr>
      <w:r>
        <w:rPr>
          <w:rFonts w:ascii="Times New Roman" w:hAnsi="Times New Roman" w:eastAsia="楷体" w:cs="Times New Roman"/>
          <w:sz w:val="40"/>
          <w:szCs w:val="40"/>
          <w:highlight w:val="none"/>
          <w:lang w:val="vi-VN"/>
        </w:rPr>
        <w:t>Dự</w:t>
      </w:r>
      <w:r>
        <w:rPr>
          <w:rFonts w:ascii="Times New Roman" w:hAnsi="Times New Roman" w:eastAsia="楷体" w:cs="Times New Roman"/>
          <w:sz w:val="40"/>
          <w:szCs w:val="40"/>
          <w:highlight w:val="none"/>
        </w:rPr>
        <w:t xml:space="preserve"> </w:t>
      </w:r>
      <w:r>
        <w:rPr>
          <w:rFonts w:ascii="Times New Roman" w:hAnsi="Times New Roman" w:eastAsia="楷体" w:cs="Times New Roman"/>
          <w:sz w:val="40"/>
          <w:szCs w:val="40"/>
          <w:highlight w:val="none"/>
          <w:lang w:val="vi-VN"/>
        </w:rPr>
        <w:t>án Điện gió Đắk lắk Việt Nam</w:t>
      </w:r>
    </w:p>
    <w:p>
      <w:pPr>
        <w:pStyle w:val="41"/>
        <w:jc w:val="center"/>
        <w:rPr>
          <w:rFonts w:ascii="Times New Roman" w:hAnsi="Times New Roman" w:eastAsia="楷体" w:cs="Times New Roman"/>
          <w:sz w:val="40"/>
          <w:szCs w:val="40"/>
          <w:highlight w:val="none"/>
          <w:lang w:val="vi-VN"/>
        </w:rPr>
      </w:pPr>
      <w:r>
        <w:rPr>
          <w:rFonts w:ascii="Times New Roman" w:hAnsi="Times New Roman" w:eastAsia="楷体" w:cs="Times New Roman"/>
          <w:sz w:val="40"/>
          <w:szCs w:val="40"/>
          <w:highlight w:val="none"/>
          <w:lang w:val="vi-VN"/>
        </w:rPr>
        <w:t>Thông số kỹ thuật cho dịch vụ kiểm tra bu lông neo tuabin gió</w:t>
      </w:r>
    </w:p>
    <w:p>
      <w:pPr>
        <w:spacing w:line="360" w:lineRule="auto"/>
        <w:rPr>
          <w:rFonts w:ascii="Times New Roman" w:hAnsi="Times New Roman" w:eastAsia="仿宋" w:cs="Times New Roman"/>
          <w:highlight w:val="none"/>
          <w:lang w:val="vi-VN"/>
        </w:rPr>
      </w:pPr>
      <w:r>
        <w:rPr>
          <w:rFonts w:ascii="Times New Roman" w:hAnsi="Times New Roman" w:eastAsia="黑体" w:cs="Times New Roman"/>
          <w:sz w:val="32"/>
          <w:highlight w:val="none"/>
        </w:rPr>
        <w:drawing>
          <wp:anchor distT="0" distB="0" distL="114300" distR="114300" simplePos="0" relativeHeight="251660288" behindDoc="0" locked="0" layoutInCell="1" allowOverlap="1">
            <wp:simplePos x="0" y="0"/>
            <wp:positionH relativeFrom="column">
              <wp:posOffset>437515</wp:posOffset>
            </wp:positionH>
            <wp:positionV relativeFrom="paragraph">
              <wp:posOffset>73025</wp:posOffset>
            </wp:positionV>
            <wp:extent cx="4356735" cy="3267710"/>
            <wp:effectExtent l="0" t="0" r="1905" b="8890"/>
            <wp:wrapSquare wrapText="bothSides"/>
            <wp:docPr id="2" name="图片 2" descr="C:/Users/HD/AppData/Local/Temp/picturecompress_20220325114025/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D/AppData/Local/Temp/picturecompress_20220325114025/output_1.jpgoutput_1"/>
                    <pic:cNvPicPr>
                      <a:picLocks noChangeAspect="1"/>
                    </pic:cNvPicPr>
                  </pic:nvPicPr>
                  <pic:blipFill>
                    <a:blip r:embed="rId6"/>
                    <a:stretch>
                      <a:fillRect/>
                    </a:stretch>
                  </pic:blipFill>
                  <pic:spPr>
                    <a:xfrm>
                      <a:off x="0" y="0"/>
                      <a:ext cx="4356735" cy="3267710"/>
                    </a:xfrm>
                    <a:prstGeom prst="rect">
                      <a:avLst/>
                    </a:prstGeom>
                  </pic:spPr>
                </pic:pic>
              </a:graphicData>
            </a:graphic>
          </wp:anchor>
        </w:drawing>
      </w:r>
    </w:p>
    <w:p>
      <w:pPr>
        <w:ind w:firstLine="4096" w:firstLineChars="1600"/>
        <w:rPr>
          <w:rFonts w:ascii="Times New Roman" w:hAnsi="Times New Roman" w:eastAsia="仿宋" w:cs="Times New Roman"/>
          <w:spacing w:val="8"/>
          <w:highlight w:val="none"/>
          <w:lang w:val="vi-VN" w:eastAsia="zh-TW"/>
        </w:rPr>
      </w:pPr>
    </w:p>
    <w:p>
      <w:pPr>
        <w:ind w:firstLine="4096" w:firstLineChars="1600"/>
        <w:rPr>
          <w:rFonts w:ascii="Times New Roman" w:hAnsi="Times New Roman" w:eastAsia="仿宋" w:cs="Times New Roman"/>
          <w:sz w:val="30"/>
          <w:szCs w:val="30"/>
          <w:highlight w:val="none"/>
          <w:lang w:val="vi-VN" w:eastAsia="zh-TW" w:bidi="zh-TW"/>
        </w:rPr>
      </w:pPr>
      <w:r>
        <w:rPr>
          <w:rFonts w:ascii="Times New Roman" w:hAnsi="Times New Roman" w:eastAsia="仿宋" w:cs="Times New Roman"/>
          <w:spacing w:val="8"/>
          <w:highlight w:val="none"/>
          <w:lang w:val="vi-VN" w:eastAsia="zh-TW"/>
        </w:rPr>
        <w:t xml:space="preserve">  </w:t>
      </w:r>
      <w:r>
        <w:rPr>
          <w:rFonts w:ascii="Times New Roman" w:hAnsi="Times New Roman" w:cs="Times New Roman"/>
          <w:highlight w:val="none"/>
          <w:lang w:val="vi-VN" w:eastAsia="zh-TW"/>
        </w:rPr>
        <w:t xml:space="preserve">   </w:t>
      </w:r>
      <w:r>
        <w:rPr>
          <w:rFonts w:ascii="Times New Roman" w:hAnsi="Times New Roman" w:eastAsia="仿宋" w:cs="Times New Roman"/>
          <w:spacing w:val="8"/>
          <w:highlight w:val="none"/>
          <w:lang w:val="vi-VN" w:eastAsia="zh-TW"/>
        </w:rPr>
        <w:t xml:space="preserve">         </w:t>
      </w:r>
    </w:p>
    <w:p>
      <w:pPr>
        <w:spacing w:line="360" w:lineRule="auto"/>
        <w:rPr>
          <w:rFonts w:ascii="Times New Roman" w:hAnsi="Times New Roman" w:eastAsia="仿宋" w:cs="Times New Roman"/>
          <w:spacing w:val="8"/>
          <w:highlight w:val="none"/>
          <w:lang w:val="vi-VN" w:eastAsia="zh-TW"/>
        </w:rPr>
      </w:pPr>
    </w:p>
    <w:p>
      <w:pPr>
        <w:pStyle w:val="2"/>
        <w:rPr>
          <w:rFonts w:ascii="Times New Roman" w:hAnsi="Times New Roman" w:eastAsia="仿宋"/>
          <w:spacing w:val="8"/>
          <w:highlight w:val="none"/>
          <w:lang w:val="vi-VN" w:eastAsia="zh-TW"/>
        </w:rPr>
      </w:pPr>
    </w:p>
    <w:p>
      <w:pPr>
        <w:rPr>
          <w:rFonts w:ascii="Times New Roman" w:hAnsi="Times New Roman" w:eastAsia="仿宋" w:cs="Times New Roman"/>
          <w:spacing w:val="8"/>
          <w:highlight w:val="none"/>
          <w:lang w:val="vi-VN" w:eastAsia="zh-TW"/>
        </w:rPr>
      </w:pPr>
    </w:p>
    <w:p>
      <w:pPr>
        <w:pStyle w:val="2"/>
        <w:rPr>
          <w:rFonts w:ascii="Times New Roman" w:hAnsi="Times New Roman" w:eastAsia="仿宋"/>
          <w:spacing w:val="8"/>
          <w:highlight w:val="none"/>
          <w:lang w:val="vi-VN" w:eastAsia="zh-TW"/>
        </w:rPr>
      </w:pPr>
    </w:p>
    <w:p>
      <w:pPr>
        <w:rPr>
          <w:rFonts w:ascii="Times New Roman" w:hAnsi="Times New Roman" w:eastAsia="仿宋" w:cs="Times New Roman"/>
          <w:spacing w:val="8"/>
          <w:highlight w:val="none"/>
          <w:lang w:val="vi-VN" w:eastAsia="zh-TW"/>
        </w:rPr>
      </w:pPr>
    </w:p>
    <w:p>
      <w:pPr>
        <w:pStyle w:val="2"/>
        <w:rPr>
          <w:rFonts w:ascii="Times New Roman" w:hAnsi="Times New Roman" w:eastAsia="仿宋"/>
          <w:spacing w:val="8"/>
          <w:highlight w:val="none"/>
          <w:lang w:val="vi-VN" w:eastAsia="zh-TW"/>
        </w:rPr>
      </w:pPr>
    </w:p>
    <w:p>
      <w:pPr>
        <w:rPr>
          <w:rFonts w:ascii="Times New Roman" w:hAnsi="Times New Roman" w:eastAsia="仿宋" w:cs="Times New Roman"/>
          <w:spacing w:val="8"/>
          <w:highlight w:val="none"/>
          <w:lang w:val="vi-VN" w:eastAsia="zh-TW"/>
        </w:rPr>
      </w:pPr>
    </w:p>
    <w:p>
      <w:pPr>
        <w:pStyle w:val="2"/>
        <w:rPr>
          <w:highlight w:val="none"/>
          <w:lang w:val="vi-VN" w:eastAsia="zh-TW"/>
        </w:rPr>
      </w:pPr>
    </w:p>
    <w:p>
      <w:pPr>
        <w:ind w:left="-567" w:right="-766"/>
        <w:jc w:val="center"/>
        <w:rPr>
          <w:rFonts w:ascii="Times New Roman" w:hAnsi="Times New Roman" w:eastAsia="仿宋" w:cs="Times New Roman"/>
          <w:sz w:val="28"/>
          <w:szCs w:val="28"/>
          <w:highlight w:val="none"/>
          <w:lang w:val="vi-VN"/>
        </w:rPr>
      </w:pPr>
    </w:p>
    <w:p>
      <w:pPr>
        <w:ind w:left="-567" w:right="-766"/>
        <w:jc w:val="center"/>
        <w:rPr>
          <w:rFonts w:ascii="Times New Roman" w:hAnsi="Times New Roman" w:eastAsia="仿宋" w:cs="Times New Roman"/>
          <w:sz w:val="28"/>
          <w:szCs w:val="28"/>
          <w:highlight w:val="none"/>
          <w:lang w:val="vi-VN"/>
        </w:rPr>
      </w:pPr>
    </w:p>
    <w:p>
      <w:pPr>
        <w:ind w:left="-567" w:right="-766"/>
        <w:jc w:val="center"/>
        <w:rPr>
          <w:rFonts w:ascii="Times New Roman" w:hAnsi="Times New Roman" w:eastAsia="仿宋" w:cs="Times New Roman"/>
          <w:sz w:val="28"/>
          <w:szCs w:val="28"/>
          <w:highlight w:val="none"/>
        </w:rPr>
      </w:pPr>
      <w:r>
        <w:rPr>
          <w:rFonts w:ascii="Times New Roman" w:hAnsi="Times New Roman" w:eastAsia="仿宋" w:cs="Times New Roman"/>
          <w:sz w:val="28"/>
          <w:szCs w:val="28"/>
          <w:highlight w:val="none"/>
        </w:rPr>
        <w:t>2024</w:t>
      </w:r>
      <w:r>
        <w:rPr>
          <w:rFonts w:hint="eastAsia" w:ascii="微软雅黑" w:hAnsi="微软雅黑" w:eastAsia="微软雅黑" w:cs="微软雅黑"/>
          <w:sz w:val="28"/>
          <w:szCs w:val="28"/>
          <w:highlight w:val="none"/>
        </w:rPr>
        <w:t>年</w:t>
      </w:r>
      <w:r>
        <w:rPr>
          <w:rFonts w:hint="eastAsia" w:ascii="Times New Roman" w:hAnsi="Times New Roman" w:eastAsia="仿宋" w:cs="Times New Roman"/>
          <w:sz w:val="28"/>
          <w:szCs w:val="28"/>
          <w:highlight w:val="none"/>
        </w:rPr>
        <w:t>4</w:t>
      </w:r>
      <w:r>
        <w:rPr>
          <w:rFonts w:hint="eastAsia" w:ascii="微软雅黑" w:hAnsi="微软雅黑" w:eastAsia="微软雅黑" w:cs="微软雅黑"/>
          <w:sz w:val="28"/>
          <w:szCs w:val="28"/>
          <w:highlight w:val="none"/>
        </w:rPr>
        <w:t>月</w:t>
      </w:r>
    </w:p>
    <w:p>
      <w:pPr>
        <w:ind w:left="-567" w:right="-766"/>
        <w:jc w:val="center"/>
        <w:rPr>
          <w:rFonts w:ascii="Times New Roman" w:hAnsi="Times New Roman" w:eastAsia="仿宋" w:cs="Times New Roman"/>
          <w:sz w:val="28"/>
          <w:szCs w:val="28"/>
          <w:highlight w:val="none"/>
        </w:rPr>
      </w:pPr>
      <w:r>
        <w:rPr>
          <w:rFonts w:hint="eastAsia" w:ascii="Times New Roman" w:hAnsi="Times New Roman" w:eastAsia="仿宋" w:cs="Times New Roman"/>
          <w:sz w:val="28"/>
          <w:szCs w:val="28"/>
          <w:highlight w:val="none"/>
        </w:rPr>
        <w:t>Apr</w:t>
      </w:r>
      <w:r>
        <w:rPr>
          <w:rFonts w:ascii="Times New Roman" w:hAnsi="Times New Roman" w:eastAsia="仿宋" w:cs="Times New Roman"/>
          <w:sz w:val="28"/>
          <w:szCs w:val="28"/>
          <w:highlight w:val="none"/>
        </w:rPr>
        <w:t>, 2024</w:t>
      </w:r>
    </w:p>
    <w:p>
      <w:pPr>
        <w:pStyle w:val="2"/>
        <w:rPr>
          <w:rFonts w:ascii="Times New Roman" w:hAnsi="Times New Roman"/>
          <w:highlight w:val="none"/>
        </w:rPr>
      </w:pPr>
    </w:p>
    <w:p>
      <w:pPr>
        <w:rPr>
          <w:rFonts w:ascii="Times New Roman" w:hAnsi="Times New Roman" w:cs="Times New Roman"/>
          <w:highlight w:val="none"/>
        </w:rPr>
      </w:pPr>
    </w:p>
    <w:p>
      <w:pPr>
        <w:rPr>
          <w:rFonts w:ascii="Times New Roman" w:hAnsi="Times New Roman" w:cs="Times New Roman"/>
          <w:highlight w:val="none"/>
        </w:rPr>
      </w:pPr>
    </w:p>
    <w:p>
      <w:pPr>
        <w:pStyle w:val="41"/>
        <w:jc w:val="center"/>
        <w:rPr>
          <w:rFonts w:ascii="Times New Roman" w:hAnsi="Times New Roman" w:eastAsia="楷体" w:cs="Times New Roman"/>
          <w:sz w:val="40"/>
          <w:szCs w:val="40"/>
          <w:highlight w:val="none"/>
        </w:rPr>
      </w:pPr>
      <w:r>
        <w:rPr>
          <w:rFonts w:hint="eastAsia" w:ascii="微软雅黑" w:hAnsi="微软雅黑" w:eastAsia="微软雅黑" w:cs="微软雅黑"/>
          <w:sz w:val="40"/>
          <w:szCs w:val="40"/>
          <w:highlight w:val="none"/>
        </w:rPr>
        <w:t>越南得乐风电项目</w:t>
      </w:r>
    </w:p>
    <w:p>
      <w:pPr>
        <w:pStyle w:val="41"/>
        <w:jc w:val="center"/>
        <w:rPr>
          <w:rFonts w:ascii="Times New Roman" w:hAnsi="Times New Roman" w:eastAsia="楷体" w:cs="Times New Roman"/>
          <w:sz w:val="40"/>
          <w:szCs w:val="40"/>
          <w:highlight w:val="none"/>
        </w:rPr>
      </w:pPr>
      <w:r>
        <w:rPr>
          <w:rFonts w:hint="eastAsia" w:ascii="微软雅黑" w:hAnsi="微软雅黑" w:eastAsia="微软雅黑" w:cs="微软雅黑"/>
          <w:sz w:val="40"/>
          <w:szCs w:val="40"/>
          <w:highlight w:val="none"/>
        </w:rPr>
        <w:t>风机锚栓检测服务技术规范书</w:t>
      </w:r>
    </w:p>
    <w:p>
      <w:pPr>
        <w:pStyle w:val="41"/>
        <w:jc w:val="center"/>
        <w:rPr>
          <w:rFonts w:ascii="Times New Roman" w:hAnsi="Times New Roman" w:eastAsia="楷体" w:cs="Times New Roman"/>
          <w:sz w:val="40"/>
          <w:szCs w:val="40"/>
          <w:highlight w:val="none"/>
          <w:lang w:val="vi-VN"/>
        </w:rPr>
      </w:pPr>
      <w:r>
        <w:rPr>
          <w:rFonts w:ascii="Times New Roman" w:hAnsi="Times New Roman" w:eastAsia="楷体" w:cs="Times New Roman"/>
          <w:sz w:val="40"/>
          <w:szCs w:val="40"/>
          <w:highlight w:val="none"/>
          <w:lang w:val="vi-VN"/>
        </w:rPr>
        <w:t>Dự</w:t>
      </w:r>
      <w:r>
        <w:rPr>
          <w:rFonts w:ascii="Times New Roman" w:hAnsi="Times New Roman" w:eastAsia="楷体" w:cs="Times New Roman"/>
          <w:sz w:val="40"/>
          <w:szCs w:val="40"/>
          <w:highlight w:val="none"/>
        </w:rPr>
        <w:t xml:space="preserve"> </w:t>
      </w:r>
      <w:r>
        <w:rPr>
          <w:rFonts w:ascii="Times New Roman" w:hAnsi="Times New Roman" w:eastAsia="楷体" w:cs="Times New Roman"/>
          <w:sz w:val="40"/>
          <w:szCs w:val="40"/>
          <w:highlight w:val="none"/>
          <w:lang w:val="vi-VN"/>
        </w:rPr>
        <w:t>án Điện gió Đắk lắk Việt Nam</w:t>
      </w:r>
    </w:p>
    <w:p>
      <w:pPr>
        <w:jc w:val="center"/>
        <w:rPr>
          <w:rFonts w:ascii="Times New Roman" w:hAnsi="Times New Roman" w:cs="Times New Roman"/>
          <w:highlight w:val="none"/>
          <w:lang w:val="vi-VN"/>
        </w:rPr>
      </w:pPr>
      <w:r>
        <w:rPr>
          <w:rFonts w:ascii="Times New Roman" w:hAnsi="Times New Roman" w:eastAsia="楷体" w:cs="Times New Roman"/>
          <w:sz w:val="40"/>
          <w:szCs w:val="40"/>
          <w:highlight w:val="none"/>
          <w:lang w:val="vi-VN"/>
        </w:rPr>
        <w:t>Thông số kỹ thuật cho dịch vụ kiểm tra bu lông neo tuabin gió</w:t>
      </w:r>
    </w:p>
    <w:p>
      <w:pPr>
        <w:pStyle w:val="2"/>
        <w:rPr>
          <w:rFonts w:ascii="Times New Roman" w:hAnsi="Times New Roman"/>
          <w:highlight w:val="none"/>
          <w:lang w:val="vi-VN"/>
        </w:rPr>
      </w:pPr>
    </w:p>
    <w:p>
      <w:pPr>
        <w:rPr>
          <w:rFonts w:ascii="Times New Roman" w:hAnsi="Times New Roman" w:cs="Times New Roman"/>
          <w:highlight w:val="none"/>
          <w:lang w:val="vi-VN"/>
        </w:rPr>
      </w:pPr>
    </w:p>
    <w:p>
      <w:pPr>
        <w:pStyle w:val="2"/>
        <w:rPr>
          <w:rFonts w:ascii="Times New Roman" w:hAnsi="Times New Roman"/>
          <w:highlight w:val="none"/>
          <w:lang w:val="vi-VN"/>
        </w:rPr>
      </w:pPr>
    </w:p>
    <w:p>
      <w:pPr>
        <w:rPr>
          <w:rFonts w:ascii="Times New Roman" w:hAnsi="Times New Roman" w:cs="Times New Roman"/>
          <w:highlight w:val="none"/>
          <w:lang w:val="vi-VN"/>
        </w:rPr>
      </w:pPr>
    </w:p>
    <w:p>
      <w:pPr>
        <w:pStyle w:val="2"/>
        <w:rPr>
          <w:rFonts w:ascii="Times New Roman" w:hAnsi="Times New Roman"/>
          <w:highlight w:val="none"/>
          <w:lang w:val="vi-VN"/>
        </w:rPr>
      </w:pPr>
    </w:p>
    <w:p>
      <w:pPr>
        <w:rPr>
          <w:rFonts w:ascii="Times New Roman" w:hAnsi="Times New Roman" w:cs="Times New Roman"/>
          <w:highlight w:val="none"/>
          <w:lang w:val="vi-VN"/>
        </w:rPr>
      </w:pPr>
    </w:p>
    <w:p>
      <w:pPr>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批准Approved：</w:t>
      </w:r>
    </w:p>
    <w:p>
      <w:pPr>
        <w:pStyle w:val="2"/>
        <w:rPr>
          <w:highlight w:val="none"/>
        </w:rPr>
      </w:pPr>
    </w:p>
    <w:p>
      <w:pPr>
        <w:rPr>
          <w:highlight w:val="none"/>
        </w:rPr>
      </w:pPr>
    </w:p>
    <w:p>
      <w:pPr>
        <w:pStyle w:val="2"/>
        <w:jc w:val="center"/>
        <w:rPr>
          <w:rFonts w:ascii="Times New Roman" w:hAnsi="Times New Roman"/>
          <w:sz w:val="28"/>
          <w:szCs w:val="28"/>
          <w:highlight w:val="none"/>
        </w:rPr>
      </w:pPr>
      <w:r>
        <w:rPr>
          <w:rFonts w:hint="eastAsia" w:ascii="Times New Roman" w:hAnsi="Times New Roman"/>
          <w:sz w:val="28"/>
          <w:szCs w:val="28"/>
          <w:highlight w:val="none"/>
        </w:rPr>
        <w:t>审核</w:t>
      </w:r>
      <w:r>
        <w:rPr>
          <w:rFonts w:ascii="Times New Roman" w:hAnsi="Times New Roman"/>
          <w:sz w:val="28"/>
          <w:szCs w:val="28"/>
          <w:highlight w:val="none"/>
        </w:rPr>
        <w:t>Checked：</w:t>
      </w:r>
    </w:p>
    <w:p>
      <w:pPr>
        <w:rPr>
          <w:highlight w:val="none"/>
        </w:rPr>
      </w:pPr>
    </w:p>
    <w:p>
      <w:pPr>
        <w:pStyle w:val="2"/>
        <w:rPr>
          <w:highlight w:val="none"/>
        </w:rPr>
      </w:pPr>
    </w:p>
    <w:p>
      <w:pPr>
        <w:jc w:val="center"/>
        <w:rPr>
          <w:rFonts w:ascii="Times New Roman" w:hAnsi="Times New Roman" w:cs="Times New Roman"/>
          <w:highlight w:val="none"/>
        </w:rPr>
      </w:pPr>
      <w:r>
        <w:rPr>
          <w:rFonts w:ascii="Times New Roman" w:hAnsi="Times New Roman" w:cs="Times New Roman"/>
          <w:b/>
          <w:bCs/>
          <w:sz w:val="28"/>
          <w:szCs w:val="28"/>
          <w:highlight w:val="none"/>
        </w:rPr>
        <w:t>编制Prepared：</w:t>
      </w:r>
    </w:p>
    <w:p>
      <w:pPr>
        <w:pStyle w:val="6"/>
        <w:ind w:firstLine="0"/>
        <w:rPr>
          <w:rFonts w:ascii="Times New Roman" w:hAnsi="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pStyle w:val="7"/>
        <w:rPr>
          <w:rFonts w:ascii="Times New Roman" w:hAnsi="Times New Roman" w:cs="Times New Roman"/>
          <w:highlight w:val="none"/>
        </w:rPr>
      </w:pPr>
    </w:p>
    <w:p>
      <w:pPr>
        <w:widowControl/>
        <w:jc w:val="left"/>
        <w:rPr>
          <w:rFonts w:ascii="Times New Roman" w:hAnsi="Times New Roman" w:eastAsia="黑体" w:cs="Times New Roman"/>
          <w:b/>
          <w:sz w:val="28"/>
          <w:szCs w:val="28"/>
          <w:highlight w:val="none"/>
          <w:lang w:val="vi-VN"/>
        </w:rPr>
      </w:pPr>
      <w:bookmarkStart w:id="12" w:name="_Toc29254"/>
      <w:r>
        <w:rPr>
          <w:rFonts w:hint="eastAsia" w:ascii="Times New Roman" w:hAnsi="Times New Roman" w:eastAsia="黑体" w:cs="Times New Roman"/>
          <w:b/>
          <w:sz w:val="28"/>
          <w:szCs w:val="28"/>
          <w:highlight w:val="none"/>
        </w:rPr>
        <w:t>一、总则</w:t>
      </w:r>
      <w:bookmarkEnd w:id="12"/>
      <w:r>
        <w:rPr>
          <w:rFonts w:ascii="Times New Roman" w:hAnsi="Times New Roman" w:eastAsia="黑体" w:cs="Times New Roman"/>
          <w:b/>
          <w:sz w:val="28"/>
          <w:szCs w:val="28"/>
          <w:highlight w:val="none"/>
        </w:rPr>
        <w:t>/</w:t>
      </w:r>
      <w:r>
        <w:rPr>
          <w:rFonts w:ascii="Times New Roman" w:hAnsi="Times New Roman" w:eastAsia="黑体" w:cs="Times New Roman"/>
          <w:b/>
          <w:sz w:val="28"/>
          <w:szCs w:val="28"/>
          <w:highlight w:val="none"/>
          <w:lang w:val="vi-VN"/>
        </w:rPr>
        <w:t xml:space="preserve"> THÔNG TIN CHUNG</w:t>
      </w:r>
    </w:p>
    <w:p>
      <w:pPr>
        <w:pStyle w:val="21"/>
        <w:spacing w:line="360" w:lineRule="auto"/>
        <w:ind w:firstLine="480" w:firstLineChars="200"/>
        <w:rPr>
          <w:rFonts w:ascii="Times New Roman" w:hAnsi="Times New Roman" w:cs="Times New Roman"/>
          <w:kern w:val="2"/>
          <w:szCs w:val="28"/>
          <w:highlight w:val="none"/>
        </w:rPr>
      </w:pPr>
      <w:bookmarkStart w:id="13" w:name="_Toc32298"/>
      <w:r>
        <w:rPr>
          <w:rFonts w:ascii="Times New Roman" w:hAnsi="Times New Roman" w:cs="Times New Roman"/>
          <w:kern w:val="2"/>
          <w:szCs w:val="28"/>
          <w:highlight w:val="none"/>
        </w:rPr>
        <w:t>1.1 本规范书适用于华电科工得乐项</w:t>
      </w:r>
      <w:r>
        <w:rPr>
          <w:rFonts w:ascii="Times New Roman" w:hAnsi="Times New Roman" w:cs="Times New Roman"/>
          <w:kern w:val="2"/>
          <w:szCs w:val="28"/>
          <w:highlight w:val="none"/>
        </w:rPr>
        <w:t>目</w:t>
      </w:r>
      <w:r>
        <w:rPr>
          <w:rFonts w:hint="eastAsia" w:ascii="Times New Roman" w:hAnsi="Times New Roman" w:cs="Times New Roman"/>
          <w:kern w:val="2"/>
          <w:szCs w:val="28"/>
          <w:highlight w:val="none"/>
        </w:rPr>
        <w:t>风机锚栓检测</w:t>
      </w:r>
      <w:r>
        <w:rPr>
          <w:rFonts w:ascii="Times New Roman" w:hAnsi="Times New Roman" w:cs="Times New Roman"/>
          <w:kern w:val="2"/>
          <w:szCs w:val="28"/>
          <w:highlight w:val="none"/>
        </w:rPr>
        <w:t>服务项目，涵盖了</w:t>
      </w:r>
      <w:r>
        <w:rPr>
          <w:rFonts w:hint="eastAsia" w:ascii="Times New Roman" w:hAnsi="Times New Roman" w:cs="Times New Roman"/>
          <w:kern w:val="2"/>
          <w:szCs w:val="28"/>
          <w:highlight w:val="none"/>
        </w:rPr>
        <w:t>服务</w:t>
      </w:r>
      <w:r>
        <w:rPr>
          <w:rFonts w:ascii="Times New Roman" w:hAnsi="Times New Roman" w:cs="Times New Roman"/>
          <w:kern w:val="2"/>
          <w:szCs w:val="28"/>
          <w:highlight w:val="none"/>
        </w:rPr>
        <w:t>方案、</w:t>
      </w:r>
      <w:r>
        <w:rPr>
          <w:rFonts w:hint="eastAsia" w:ascii="Times New Roman" w:hAnsi="Times New Roman" w:cs="Times New Roman"/>
          <w:kern w:val="2"/>
          <w:szCs w:val="28"/>
          <w:highlight w:val="none"/>
        </w:rPr>
        <w:t>人员能力</w:t>
      </w:r>
      <w:r>
        <w:rPr>
          <w:rFonts w:ascii="Times New Roman" w:hAnsi="Times New Roman" w:cs="Times New Roman"/>
          <w:kern w:val="2"/>
          <w:szCs w:val="28"/>
          <w:highlight w:val="none"/>
        </w:rPr>
        <w:t>、</w:t>
      </w:r>
      <w:r>
        <w:rPr>
          <w:rFonts w:hint="eastAsia" w:ascii="Times New Roman" w:hAnsi="Times New Roman" w:cs="Times New Roman"/>
          <w:kern w:val="2"/>
          <w:szCs w:val="28"/>
          <w:highlight w:val="none"/>
        </w:rPr>
        <w:t>工器具检验、</w:t>
      </w:r>
      <w:r>
        <w:rPr>
          <w:rFonts w:ascii="Times New Roman" w:hAnsi="Times New Roman" w:cs="Times New Roman"/>
          <w:kern w:val="2"/>
          <w:szCs w:val="28"/>
          <w:highlight w:val="none"/>
        </w:rPr>
        <w:t>现场调试</w:t>
      </w:r>
      <w:r>
        <w:rPr>
          <w:rFonts w:hint="eastAsia" w:ascii="Times New Roman" w:hAnsi="Times New Roman" w:cs="Times New Roman"/>
          <w:kern w:val="2"/>
          <w:szCs w:val="28"/>
          <w:highlight w:val="none"/>
        </w:rPr>
        <w:t>、测试报告</w:t>
      </w:r>
      <w:r>
        <w:rPr>
          <w:rFonts w:ascii="Times New Roman" w:hAnsi="Times New Roman" w:cs="Times New Roman"/>
          <w:kern w:val="2"/>
          <w:szCs w:val="28"/>
          <w:highlight w:val="none"/>
        </w:rPr>
        <w:t>等方面的技术要求。</w:t>
      </w:r>
      <w:bookmarkEnd w:id="13"/>
    </w:p>
    <w:p>
      <w:pPr>
        <w:pStyle w:val="21"/>
        <w:spacing w:line="276"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Thông số kỹ thuật này áp dụng cho dự án dịch vụ kiểm tra bu lông neo tuabin gió của Dự án Khoa học và Công nghệ Huadian</w:t>
      </w:r>
      <w:r>
        <w:rPr>
          <w:rFonts w:hint="eastAsia" w:ascii="Times New Roman" w:hAnsi="Times New Roman" w:cs="Times New Roman"/>
          <w:kern w:val="2"/>
          <w:szCs w:val="28"/>
          <w:highlight w:val="none"/>
        </w:rPr>
        <w:t xml:space="preserve"> Daklak</w:t>
      </w:r>
      <w:r>
        <w:rPr>
          <w:rFonts w:ascii="Times New Roman" w:hAnsi="Times New Roman" w:cs="Times New Roman"/>
          <w:kern w:val="2"/>
          <w:szCs w:val="28"/>
          <w:highlight w:val="none"/>
        </w:rPr>
        <w:t>, bao gồm các yêu cầu kỹ thuật trong kế hoạch dịch vụ, năng lực nhân sự, kiểm tra công cụ, hiện tr</w:t>
      </w:r>
      <w:r>
        <w:rPr>
          <w:rFonts w:ascii="Times New Roman" w:hAnsi="Times New Roman" w:cs="Times New Roman"/>
          <w:kern w:val="2"/>
          <w:szCs w:val="28"/>
          <w:highlight w:val="none"/>
          <w:lang w:val="vi-VN"/>
        </w:rPr>
        <w:t xml:space="preserve">ường </w:t>
      </w:r>
      <w:r>
        <w:rPr>
          <w:rFonts w:ascii="Times New Roman" w:hAnsi="Times New Roman" w:eastAsia="MS Gothic" w:cs="Times New Roman"/>
          <w:kern w:val="2"/>
          <w:szCs w:val="28"/>
          <w:highlight w:val="none"/>
          <w:lang w:val="vi-VN"/>
        </w:rPr>
        <w:t>đ</w:t>
      </w:r>
      <w:r>
        <w:rPr>
          <w:rFonts w:ascii="Times New Roman" w:hAnsi="Times New Roman" w:cs="Times New Roman" w:eastAsiaTheme="minorEastAsia"/>
          <w:kern w:val="2"/>
          <w:szCs w:val="28"/>
          <w:highlight w:val="none"/>
          <w:lang w:val="vi-VN"/>
        </w:rPr>
        <w:t>iều chỉnh</w:t>
      </w:r>
      <w:r>
        <w:rPr>
          <w:rFonts w:ascii="Times New Roman" w:hAnsi="Times New Roman" w:cs="Times New Roman"/>
          <w:kern w:val="2"/>
          <w:szCs w:val="28"/>
          <w:highlight w:val="none"/>
        </w:rPr>
        <w:t>, báo cáo thí nghiệm, v.v.</w:t>
      </w:r>
    </w:p>
    <w:p>
      <w:pPr>
        <w:pStyle w:val="21"/>
        <w:spacing w:line="360" w:lineRule="auto"/>
        <w:ind w:firstLine="480" w:firstLineChars="200"/>
        <w:rPr>
          <w:rFonts w:ascii="Times New Roman" w:hAnsi="Times New Roman" w:cs="Times New Roman"/>
          <w:kern w:val="2"/>
          <w:szCs w:val="28"/>
          <w:highlight w:val="none"/>
        </w:rPr>
      </w:pPr>
      <w:bookmarkStart w:id="14" w:name="_Toc22292"/>
      <w:r>
        <w:rPr>
          <w:rFonts w:ascii="Times New Roman" w:hAnsi="Times New Roman" w:cs="Times New Roman"/>
          <w:kern w:val="2"/>
          <w:szCs w:val="28"/>
          <w:highlight w:val="none"/>
        </w:rPr>
        <w:t>1.2 本规范书提出的是最低限度的要求。凡本规范书中未规定，但在本行业相关的越南、中国国家标准或行业标准中有规定的规范条文，受托方应按相应最高标准的条文执行。对国家有关安全、环保等强制性标准，必须满足其要求。</w:t>
      </w:r>
      <w:bookmarkEnd w:id="14"/>
      <w:r>
        <w:rPr>
          <w:rFonts w:ascii="Times New Roman" w:hAnsi="Times New Roman" w:cs="Times New Roman"/>
          <w:kern w:val="2"/>
          <w:szCs w:val="28"/>
          <w:highlight w:val="none"/>
        </w:rPr>
        <w:t>受托方应仔细调研与电力生产有关的法律、法规、规程、规范、标准（无论这些法律法规是政府部门还是EVN发布的），其行为也应遵守这些法律文件以及其不时更新的要求，受托方不得以不知晓或法律法规要求不合理为由主张费用或索赔。</w:t>
      </w:r>
    </w:p>
    <w:p>
      <w:pPr>
        <w:pStyle w:val="21"/>
        <w:spacing w:line="276" w:lineRule="auto"/>
        <w:ind w:firstLine="480" w:firstLineChars="200"/>
        <w:rPr>
          <w:rFonts w:ascii="Times New Roman" w:hAnsi="Times New Roman" w:cs="Times New Roman"/>
          <w:kern w:val="2"/>
          <w:szCs w:val="28"/>
          <w:highlight w:val="none"/>
          <w:lang w:val="vi-VN"/>
        </w:rPr>
      </w:pPr>
      <w:r>
        <w:rPr>
          <w:rFonts w:ascii="Times New Roman" w:hAnsi="Times New Roman" w:cs="Times New Roman"/>
          <w:kern w:val="2"/>
          <w:szCs w:val="28"/>
          <w:highlight w:val="none"/>
          <w:lang w:val="vi-VN"/>
        </w:rPr>
        <w:t xml:space="preserve">Tiêu chuẩn kỹ thuật này </w:t>
      </w:r>
      <w:r>
        <w:rPr>
          <w:rFonts w:ascii="Times New Roman" w:hAnsi="Times New Roman" w:cs="Times New Roman"/>
          <w:kern w:val="2"/>
          <w:szCs w:val="28"/>
          <w:highlight w:val="none"/>
        </w:rPr>
        <w:t xml:space="preserve">đặt ra các yêu cầu tối thiểu. Đối với bất kỳ quy định nào không được quy định trong quy chuẩn này mà được quy định trong tiêu chuẩn quốc gia của Việt Nam hoặc Trung Quốc hoặc tiêu chuẩn ngành liên quan đến ngành </w:t>
      </w:r>
      <w:r>
        <w:rPr>
          <w:rFonts w:ascii="Times New Roman" w:hAnsi="Times New Roman" w:cs="Times New Roman"/>
          <w:kern w:val="2"/>
          <w:szCs w:val="28"/>
          <w:highlight w:val="none"/>
          <w:lang w:val="vi-VN"/>
        </w:rPr>
        <w:t>điện</w:t>
      </w:r>
      <w:r>
        <w:rPr>
          <w:rFonts w:ascii="Times New Roman" w:hAnsi="Times New Roman" w:cs="Times New Roman"/>
          <w:kern w:val="2"/>
          <w:szCs w:val="28"/>
          <w:highlight w:val="none"/>
        </w:rPr>
        <w:t xml:space="preserve">, bên </w:t>
      </w:r>
      <w:r>
        <w:rPr>
          <w:rFonts w:ascii="Times New Roman" w:hAnsi="Times New Roman" w:cs="Times New Roman"/>
          <w:kern w:val="2"/>
          <w:szCs w:val="28"/>
          <w:highlight w:val="none"/>
          <w:lang w:val="vi-VN"/>
        </w:rPr>
        <w:t>nhận thầu</w:t>
      </w:r>
      <w:r>
        <w:rPr>
          <w:rFonts w:ascii="Times New Roman" w:hAnsi="Times New Roman" w:cs="Times New Roman"/>
          <w:kern w:val="2"/>
          <w:szCs w:val="28"/>
          <w:highlight w:val="none"/>
        </w:rPr>
        <w:t xml:space="preserve"> phải thực hiện theo quy định của tiêu chuẩn cao nhất tương ứng. Phải đáp ứng các yêu cầu của tiêu chuẩn bắt buộc quốc gia như an toàn và bảo vệ môi trường. Người được ủy thác nên điều tra cẩn thận các luật, quy định, thủ tục, thông số kỹ thuật và tiêu chuẩn liên quan đến sản xuất điện (</w:t>
      </w:r>
      <w:r>
        <w:rPr>
          <w:rFonts w:ascii="Times New Roman" w:hAnsi="Times New Roman" w:cs="Times New Roman"/>
          <w:kern w:val="2"/>
          <w:szCs w:val="28"/>
          <w:highlight w:val="none"/>
          <w:lang w:val="vi-VN"/>
        </w:rPr>
        <w:t xml:space="preserve">bao gồm </w:t>
      </w:r>
      <w:r>
        <w:rPr>
          <w:rFonts w:ascii="Times New Roman" w:hAnsi="Times New Roman" w:cs="Times New Roman"/>
          <w:kern w:val="2"/>
          <w:szCs w:val="28"/>
          <w:highlight w:val="none"/>
        </w:rPr>
        <w:t>quy định do các cơ quan chính phủ hay Tập đoàn Điện lực Việt Nam ban hành)</w:t>
      </w:r>
      <w:r>
        <w:rPr>
          <w:rFonts w:ascii="Times New Roman" w:hAnsi="Times New Roman" w:cs="Times New Roman"/>
          <w:kern w:val="2"/>
          <w:szCs w:val="28"/>
          <w:highlight w:val="none"/>
          <w:lang w:val="vi-VN"/>
        </w:rPr>
        <w:t>. Trong quá trình thực hiện, bên nhận thầu cũng phải tuân thủ các văn bản pháp luật cũng như các bản cập nhật của các văn bản pháp lý. Các chi phí hoặc yêu cầu bồi thường sẽ không được áp  dụng vì lý do thiếu hiểu biết hoặc các yêu cầu pháp lý và quy định không hợp lý.</w:t>
      </w:r>
    </w:p>
    <w:p>
      <w:pPr>
        <w:pStyle w:val="21"/>
        <w:spacing w:line="360" w:lineRule="auto"/>
        <w:ind w:firstLine="480" w:firstLineChars="200"/>
        <w:rPr>
          <w:rFonts w:ascii="Times New Roman" w:hAnsi="Times New Roman" w:cs="Times New Roman"/>
          <w:kern w:val="2"/>
          <w:szCs w:val="28"/>
          <w:highlight w:val="none"/>
        </w:rPr>
      </w:pPr>
      <w:bookmarkStart w:id="15" w:name="_Toc31975"/>
      <w:r>
        <w:rPr>
          <w:rFonts w:ascii="Times New Roman" w:hAnsi="Times New Roman" w:cs="Times New Roman"/>
          <w:kern w:val="2"/>
          <w:szCs w:val="28"/>
          <w:highlight w:val="none"/>
        </w:rPr>
        <w:t xml:space="preserve">1.3 </w:t>
      </w:r>
      <w:bookmarkEnd w:id="15"/>
      <w:r>
        <w:rPr>
          <w:rFonts w:ascii="Times New Roman" w:hAnsi="Times New Roman" w:cs="Times New Roman"/>
          <w:kern w:val="2"/>
          <w:szCs w:val="28"/>
          <w:highlight w:val="none"/>
        </w:rPr>
        <w:t>如果受托方未以书面形式对本规范书的条文提出异议, 则意味着受托方提供的服务完全符合本规范书的要求。如有异议,</w:t>
      </w:r>
      <w:r>
        <w:rPr>
          <w:rFonts w:ascii="Times New Roman" w:hAnsi="Times New Roman" w:cs="Times New Roman"/>
          <w:szCs w:val="24"/>
          <w:highlight w:val="none"/>
        </w:rPr>
        <w:t>不管是多么微小，都应在差异表中明确列出</w:t>
      </w:r>
      <w:r>
        <w:rPr>
          <w:rFonts w:ascii="Times New Roman" w:hAnsi="Times New Roman" w:cs="Times New Roman"/>
          <w:kern w:val="2"/>
          <w:szCs w:val="28"/>
          <w:highlight w:val="none"/>
        </w:rPr>
        <w:t>。</w:t>
      </w:r>
    </w:p>
    <w:p>
      <w:pPr>
        <w:pStyle w:val="21"/>
        <w:spacing w:line="276"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 xml:space="preserve">Nếu bên được ủy thác không phản đối các quy định của bản </w:t>
      </w:r>
      <w:r>
        <w:rPr>
          <w:rFonts w:ascii="Times New Roman" w:hAnsi="Times New Roman" w:cs="Times New Roman"/>
          <w:kern w:val="2"/>
          <w:szCs w:val="28"/>
          <w:highlight w:val="none"/>
          <w:lang w:val="vi-VN"/>
        </w:rPr>
        <w:t xml:space="preserve">yêu cầu kỹ thuật này </w:t>
      </w:r>
      <w:r>
        <w:rPr>
          <w:rFonts w:ascii="Times New Roman" w:hAnsi="Times New Roman" w:cs="Times New Roman"/>
          <w:kern w:val="2"/>
          <w:szCs w:val="28"/>
          <w:highlight w:val="none"/>
        </w:rPr>
        <w:t xml:space="preserve">bằng văn bản, điều đó có nghĩa là các dịch vụ do bên được ủy thác cung cấp hoàn toàn tuân thủ các yêu cầu. Mọi ý kiến ​​phản đối cũng phải được nêu rõ trong bảng </w:t>
      </w:r>
      <w:r>
        <w:rPr>
          <w:rFonts w:ascii="Times New Roman" w:hAnsi="Times New Roman" w:cs="Times New Roman"/>
          <w:kern w:val="2"/>
          <w:szCs w:val="28"/>
          <w:highlight w:val="none"/>
          <w:lang w:val="vi-VN"/>
        </w:rPr>
        <w:t>đối chiếu</w:t>
      </w:r>
      <w:r>
        <w:rPr>
          <w:rFonts w:ascii="Times New Roman" w:hAnsi="Times New Roman" w:cs="Times New Roman"/>
          <w:kern w:val="2"/>
          <w:szCs w:val="28"/>
          <w:highlight w:val="none"/>
        </w:rPr>
        <w:t>.</w:t>
      </w:r>
    </w:p>
    <w:p>
      <w:pPr>
        <w:pStyle w:val="21"/>
        <w:spacing w:line="360" w:lineRule="auto"/>
        <w:ind w:firstLine="480" w:firstLineChars="200"/>
        <w:rPr>
          <w:rFonts w:ascii="Times New Roman" w:hAnsi="Times New Roman" w:cs="Times New Roman"/>
          <w:kern w:val="2"/>
          <w:szCs w:val="28"/>
          <w:highlight w:val="none"/>
        </w:rPr>
      </w:pPr>
      <w:bookmarkStart w:id="16" w:name="_Toc20379"/>
      <w:r>
        <w:rPr>
          <w:rFonts w:ascii="Times New Roman" w:hAnsi="Times New Roman" w:cs="Times New Roman"/>
          <w:kern w:val="2"/>
          <w:szCs w:val="28"/>
          <w:highlight w:val="none"/>
        </w:rPr>
        <w:t>1.4 如有除本规范书以外的其它要求，需以书面形式提出，作为本规范书的补充。</w:t>
      </w:r>
      <w:bookmarkEnd w:id="16"/>
    </w:p>
    <w:p>
      <w:pPr>
        <w:pStyle w:val="21"/>
        <w:spacing w:line="276"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 xml:space="preserve">Nếu có các yêu cầu khác ngoài đặc điểm kỹ thuật này, chúng phải được gửi bằng văn bản như một phần bổ sung cho </w:t>
      </w:r>
      <w:r>
        <w:rPr>
          <w:rFonts w:ascii="Times New Roman" w:hAnsi="Times New Roman" w:cs="Times New Roman"/>
          <w:kern w:val="2"/>
          <w:szCs w:val="28"/>
          <w:highlight w:val="none"/>
          <w:lang w:val="vi-VN"/>
        </w:rPr>
        <w:t>bản yêu cầu kỹ thuật này</w:t>
      </w:r>
      <w:r>
        <w:rPr>
          <w:rFonts w:ascii="Times New Roman" w:hAnsi="Times New Roman" w:cs="Times New Roman"/>
          <w:kern w:val="2"/>
          <w:szCs w:val="28"/>
          <w:highlight w:val="none"/>
        </w:rPr>
        <w:t>.</w:t>
      </w:r>
    </w:p>
    <w:p>
      <w:pPr>
        <w:pStyle w:val="21"/>
        <w:spacing w:line="360" w:lineRule="auto"/>
        <w:ind w:firstLine="480" w:firstLineChars="200"/>
        <w:rPr>
          <w:rFonts w:ascii="Times New Roman" w:hAnsi="Times New Roman" w:cs="Times New Roman"/>
          <w:kern w:val="2"/>
          <w:szCs w:val="28"/>
          <w:highlight w:val="none"/>
        </w:rPr>
      </w:pPr>
      <w:bookmarkStart w:id="17" w:name="_Toc23150"/>
      <w:r>
        <w:rPr>
          <w:rFonts w:ascii="Times New Roman" w:hAnsi="Times New Roman" w:cs="Times New Roman"/>
          <w:kern w:val="2"/>
          <w:szCs w:val="28"/>
          <w:highlight w:val="none"/>
        </w:rPr>
        <w:t>1.5 受托方对服务范围内的所有工作负有全责，包括分包（或对外采购）的产品及服务。分包（或对外采购）的产品或服务提供商应征得委托方的同意。</w:t>
      </w:r>
      <w:bookmarkEnd w:id="17"/>
    </w:p>
    <w:p>
      <w:pPr>
        <w:pStyle w:val="21"/>
        <w:spacing w:line="276" w:lineRule="auto"/>
        <w:ind w:firstLine="480" w:firstLineChars="200"/>
        <w:rPr>
          <w:rFonts w:ascii="Times New Roman" w:hAnsi="Times New Roman" w:cs="Times New Roman"/>
          <w:kern w:val="2"/>
          <w:szCs w:val="28"/>
          <w:highlight w:val="none"/>
          <w:lang w:val="vi-VN"/>
        </w:rPr>
      </w:pPr>
      <w:r>
        <w:rPr>
          <w:rFonts w:ascii="Times New Roman" w:hAnsi="Times New Roman" w:cs="Times New Roman"/>
          <w:kern w:val="2"/>
          <w:szCs w:val="28"/>
          <w:highlight w:val="none"/>
        </w:rPr>
        <w:t xml:space="preserve">Người được ủy thác hoàn toàn chịu trách nhiệm về mọi công việc trong phạm vi dịch vụ, bao gồm các sản phẩm và dịch vụ được thầu phụ (hoặc thuê ngoài). Các nhà cung cấp sản phẩm hoặc dịch vụ được ký hợp đồng phụ (hoặc thuê ngoài) phải được sự đồng ý của </w:t>
      </w:r>
      <w:r>
        <w:rPr>
          <w:rFonts w:ascii="Times New Roman" w:hAnsi="Times New Roman" w:cs="Times New Roman"/>
          <w:kern w:val="2"/>
          <w:szCs w:val="28"/>
          <w:highlight w:val="none"/>
          <w:lang w:val="vi-VN"/>
        </w:rPr>
        <w:t>Bên mời thầu.</w:t>
      </w:r>
    </w:p>
    <w:p>
      <w:pPr>
        <w:pStyle w:val="21"/>
        <w:spacing w:line="360"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1.6本规范书经招、投标双方确认后作为合同的技术附件, 与合同正文具有同等的法律效力。</w:t>
      </w:r>
    </w:p>
    <w:p>
      <w:pPr>
        <w:pStyle w:val="21"/>
        <w:spacing w:line="276"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 xml:space="preserve">Thông số kỹ thuật này sẽ đóng vai trò là tài liệu đính kèm kỹ thuật của hợp đồng sau khi được cả bên </w:t>
      </w:r>
      <w:r>
        <w:rPr>
          <w:rFonts w:ascii="Times New Roman" w:hAnsi="Times New Roman" w:cs="Times New Roman"/>
          <w:kern w:val="2"/>
          <w:szCs w:val="28"/>
          <w:highlight w:val="none"/>
          <w:lang w:val="vi-VN"/>
        </w:rPr>
        <w:t xml:space="preserve">mời thầu </w:t>
      </w:r>
      <w:r>
        <w:rPr>
          <w:rFonts w:ascii="Times New Roman" w:hAnsi="Times New Roman" w:cs="Times New Roman"/>
          <w:kern w:val="2"/>
          <w:szCs w:val="28"/>
          <w:highlight w:val="none"/>
        </w:rPr>
        <w:t>thầu và bên dự thầu xác nhận và có hiệu lực pháp lý như văn bản chính của hợp đồng.</w:t>
      </w:r>
    </w:p>
    <w:p>
      <w:pPr>
        <w:pStyle w:val="21"/>
        <w:spacing w:line="360" w:lineRule="auto"/>
        <w:ind w:firstLine="480" w:firstLineChars="200"/>
        <w:rPr>
          <w:rFonts w:ascii="Times New Roman" w:hAnsi="Times New Roman" w:cs="Times New Roman"/>
          <w:kern w:val="2"/>
          <w:szCs w:val="28"/>
          <w:highlight w:val="none"/>
        </w:rPr>
      </w:pPr>
      <w:bookmarkStart w:id="18" w:name="_Toc9222"/>
      <w:r>
        <w:rPr>
          <w:rFonts w:ascii="Times New Roman" w:hAnsi="Times New Roman" w:cs="Times New Roman"/>
          <w:kern w:val="2"/>
          <w:szCs w:val="28"/>
          <w:highlight w:val="none"/>
        </w:rPr>
        <w:t>1.7本规范书未尽事宜，由委托方和受托方在合同技术谈判时协商确定。</w:t>
      </w:r>
      <w:bookmarkEnd w:id="18"/>
    </w:p>
    <w:p>
      <w:pPr>
        <w:pStyle w:val="21"/>
        <w:spacing w:line="276"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 xml:space="preserve">Các vấn đề không được đề cập trong thông số kỹ thuật này sẽ được xác định thông qua đàm phán giữa </w:t>
      </w:r>
      <w:r>
        <w:rPr>
          <w:rFonts w:ascii="Times New Roman" w:hAnsi="Times New Roman" w:cs="Times New Roman"/>
          <w:kern w:val="2"/>
          <w:szCs w:val="28"/>
          <w:highlight w:val="none"/>
          <w:lang w:val="vi-VN"/>
        </w:rPr>
        <w:t xml:space="preserve">Bên mời thầu </w:t>
      </w:r>
      <w:r>
        <w:rPr>
          <w:rFonts w:ascii="Times New Roman" w:hAnsi="Times New Roman" w:cs="Times New Roman"/>
          <w:kern w:val="2"/>
          <w:szCs w:val="28"/>
          <w:highlight w:val="none"/>
        </w:rPr>
        <w:t xml:space="preserve">và </w:t>
      </w:r>
      <w:r>
        <w:rPr>
          <w:rFonts w:ascii="Times New Roman" w:hAnsi="Times New Roman" w:cs="Times New Roman"/>
          <w:kern w:val="2"/>
          <w:szCs w:val="28"/>
          <w:highlight w:val="none"/>
          <w:lang w:val="vi-VN"/>
        </w:rPr>
        <w:t xml:space="preserve">Nhà thầu </w:t>
      </w:r>
      <w:r>
        <w:rPr>
          <w:rFonts w:ascii="Times New Roman" w:hAnsi="Times New Roman" w:cs="Times New Roman"/>
          <w:kern w:val="2"/>
          <w:szCs w:val="28"/>
          <w:highlight w:val="none"/>
        </w:rPr>
        <w:t>trong quá trình đàm phán hợp đồng kỹ thuật.</w:t>
      </w:r>
    </w:p>
    <w:p>
      <w:pPr>
        <w:pStyle w:val="3"/>
        <w:rPr>
          <w:rFonts w:ascii="Times New Roman" w:hAnsi="Times New Roman" w:cs="Times New Roman"/>
          <w:highlight w:val="none"/>
        </w:rPr>
      </w:pPr>
      <w:bookmarkStart w:id="19" w:name="_Toc1209"/>
      <w:r>
        <w:rPr>
          <w:rFonts w:hint="eastAsia" w:ascii="Times New Roman" w:hAnsi="Times New Roman" w:cs="Times New Roman"/>
          <w:highlight w:val="none"/>
        </w:rPr>
        <w:t>二、项目概况</w:t>
      </w:r>
      <w:bookmarkEnd w:id="19"/>
      <w:r>
        <w:rPr>
          <w:rFonts w:ascii="Times New Roman" w:hAnsi="Times New Roman" w:cs="Times New Roman"/>
          <w:highlight w:val="none"/>
        </w:rPr>
        <w:t xml:space="preserve"> </w:t>
      </w:r>
      <w:r>
        <w:rPr>
          <w:rFonts w:ascii="Times New Roman" w:hAnsi="Times New Roman" w:cs="Times New Roman"/>
          <w:highlight w:val="none"/>
          <w:lang w:val="vi-VN"/>
        </w:rPr>
        <w:t>TỔNG QUAN DỰ ÁN</w:t>
      </w:r>
    </w:p>
    <w:p>
      <w:pPr>
        <w:pStyle w:val="21"/>
        <w:spacing w:line="360" w:lineRule="auto"/>
        <w:ind w:firstLine="480" w:firstLineChars="200"/>
        <w:rPr>
          <w:rFonts w:ascii="Times New Roman" w:hAnsi="Times New Roman" w:cs="Times New Roman"/>
          <w:kern w:val="2"/>
          <w:szCs w:val="28"/>
          <w:highlight w:val="none"/>
          <w:lang w:val="vi-VN"/>
        </w:rPr>
      </w:pPr>
      <w:bookmarkStart w:id="20" w:name="_Toc31126"/>
      <w:r>
        <w:rPr>
          <w:rFonts w:ascii="Times New Roman" w:hAnsi="Times New Roman" w:cs="Times New Roman"/>
          <w:kern w:val="2"/>
          <w:szCs w:val="28"/>
          <w:highlight w:val="none"/>
        </w:rPr>
        <w:t>2.1 项目名称</w:t>
      </w:r>
      <w:bookmarkEnd w:id="20"/>
      <w:r>
        <w:rPr>
          <w:rFonts w:hint="eastAsia" w:ascii="Times New Roman" w:hAnsi="Times New Roman" w:cs="Times New Roman"/>
          <w:kern w:val="2"/>
          <w:szCs w:val="28"/>
          <w:highlight w:val="none"/>
        </w:rPr>
        <w:t xml:space="preserve"> </w:t>
      </w:r>
      <w:r>
        <w:rPr>
          <w:rFonts w:ascii="Times New Roman" w:hAnsi="Times New Roman" w:cs="Times New Roman"/>
          <w:kern w:val="2"/>
          <w:szCs w:val="28"/>
          <w:highlight w:val="none"/>
          <w:lang w:val="vi-VN"/>
        </w:rPr>
        <w:t>Tên dự án</w:t>
      </w:r>
    </w:p>
    <w:p>
      <w:pPr>
        <w:pStyle w:val="21"/>
        <w:spacing w:line="360"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华电科工得乐风场</w:t>
      </w:r>
      <w:bookmarkStart w:id="21" w:name="_Toc29824"/>
      <w:r>
        <w:rPr>
          <w:rFonts w:hint="eastAsia" w:ascii="Times New Roman" w:hAnsi="Times New Roman" w:cs="Times New Roman"/>
          <w:kern w:val="2"/>
          <w:szCs w:val="28"/>
          <w:highlight w:val="none"/>
        </w:rPr>
        <w:t>风机锚栓检测服务</w:t>
      </w:r>
    </w:p>
    <w:p>
      <w:pPr>
        <w:pStyle w:val="21"/>
        <w:spacing w:line="360" w:lineRule="auto"/>
        <w:ind w:firstLine="480" w:firstLineChars="200"/>
        <w:rPr>
          <w:rFonts w:ascii="Times New Roman" w:hAnsi="Times New Roman" w:cs="Times New Roman"/>
          <w:kern w:val="2"/>
          <w:szCs w:val="28"/>
          <w:highlight w:val="none"/>
          <w:lang w:val="vi-VN"/>
        </w:rPr>
      </w:pPr>
      <w:r>
        <w:rPr>
          <w:rFonts w:ascii="Times New Roman" w:hAnsi="Times New Roman" w:cs="Times New Roman"/>
          <w:kern w:val="2"/>
          <w:szCs w:val="28"/>
          <w:highlight w:val="none"/>
          <w:lang w:val="vi-VN"/>
        </w:rPr>
        <w:t xml:space="preserve">Khoa học và Công nghệ Hoa </w:t>
      </w:r>
      <w:r>
        <w:rPr>
          <w:rFonts w:ascii="Times New Roman" w:hAnsi="Times New Roman" w:eastAsia="MS Gothic" w:cs="Times New Roman"/>
          <w:kern w:val="2"/>
          <w:szCs w:val="28"/>
          <w:highlight w:val="none"/>
          <w:lang w:val="vi-VN"/>
        </w:rPr>
        <w:t>Đ</w:t>
      </w:r>
      <w:r>
        <w:rPr>
          <w:rFonts w:ascii="Times New Roman" w:hAnsi="Times New Roman" w:cs="Times New Roman" w:eastAsiaTheme="minorEastAsia"/>
          <w:kern w:val="2"/>
          <w:szCs w:val="28"/>
          <w:highlight w:val="none"/>
          <w:lang w:val="vi-VN"/>
        </w:rPr>
        <w:t>iện</w:t>
      </w:r>
      <w:r>
        <w:rPr>
          <w:rFonts w:ascii="Times New Roman" w:hAnsi="Times New Roman" w:cs="Times New Roman"/>
          <w:kern w:val="2"/>
          <w:szCs w:val="28"/>
          <w:highlight w:val="none"/>
          <w:lang w:val="vi-VN"/>
        </w:rPr>
        <w:t xml:space="preserve"> </w:t>
      </w:r>
      <w:r>
        <w:rPr>
          <w:rFonts w:hint="eastAsia" w:ascii="Times New Roman" w:hAnsi="Times New Roman" w:cs="Times New Roman"/>
          <w:kern w:val="2"/>
          <w:szCs w:val="28"/>
          <w:highlight w:val="none"/>
          <w:lang w:val="vi-VN"/>
        </w:rPr>
        <w:t>d</w:t>
      </w:r>
      <w:r>
        <w:rPr>
          <w:rFonts w:ascii="Times New Roman" w:hAnsi="Times New Roman" w:cs="Times New Roman"/>
          <w:kern w:val="2"/>
          <w:szCs w:val="28"/>
          <w:highlight w:val="none"/>
          <w:lang w:val="vi-VN"/>
        </w:rPr>
        <w:t xml:space="preserve">ịch vụ kiểm tra bu lông neo tuabin gió dự án Daklak </w:t>
      </w:r>
    </w:p>
    <w:p>
      <w:pPr>
        <w:pStyle w:val="21"/>
        <w:spacing w:line="360" w:lineRule="auto"/>
        <w:ind w:firstLine="480" w:firstLineChars="200"/>
        <w:rPr>
          <w:rFonts w:ascii="Times New Roman" w:hAnsi="Times New Roman" w:cs="Times New Roman"/>
          <w:kern w:val="2"/>
          <w:szCs w:val="28"/>
          <w:highlight w:val="none"/>
          <w:lang w:val="vi-VN"/>
        </w:rPr>
      </w:pPr>
      <w:r>
        <w:rPr>
          <w:rFonts w:ascii="Times New Roman" w:hAnsi="Times New Roman" w:cs="Times New Roman"/>
          <w:kern w:val="2"/>
          <w:szCs w:val="28"/>
          <w:highlight w:val="none"/>
        </w:rPr>
        <w:t>2.2 项目</w:t>
      </w:r>
      <w:bookmarkEnd w:id="21"/>
      <w:r>
        <w:rPr>
          <w:rFonts w:ascii="Times New Roman" w:hAnsi="Times New Roman" w:cs="Times New Roman"/>
          <w:kern w:val="2"/>
          <w:szCs w:val="28"/>
          <w:highlight w:val="none"/>
        </w:rPr>
        <w:t>简介</w:t>
      </w:r>
      <w:r>
        <w:rPr>
          <w:rFonts w:hint="eastAsia" w:ascii="Times New Roman" w:hAnsi="Times New Roman" w:cs="Times New Roman"/>
          <w:kern w:val="2"/>
          <w:szCs w:val="28"/>
          <w:highlight w:val="none"/>
        </w:rPr>
        <w:t xml:space="preserve"> </w:t>
      </w:r>
      <w:r>
        <w:rPr>
          <w:rFonts w:ascii="Times New Roman" w:hAnsi="Times New Roman" w:cs="Times New Roman"/>
          <w:kern w:val="2"/>
          <w:szCs w:val="28"/>
          <w:highlight w:val="none"/>
          <w:lang w:val="vi-VN"/>
        </w:rPr>
        <w:t>giới thiệu dự án</w:t>
      </w:r>
    </w:p>
    <w:p>
      <w:pPr>
        <w:pStyle w:val="21"/>
        <w:spacing w:line="360"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 xml:space="preserve">越南多乐省得乐风电项目（以下简称”得乐风场”）位于越南多乐省（Dak Lak）克容布县（Krông Buk）北部，由4个风场组成，分别为科荣布1号风场（以下称A区），科荣布2号风场（以下称B区），秋莱1号风场（以下称C区）和秋莱2号风场（以下称D区）；A区、B区和C区布置各12台2.65MW风机和6台3MW风机；D区布置19台2.65MW风机，总规模199.75MW，4个风场各有5条地埋集电线路，建设1座220kV升压站。 </w:t>
      </w:r>
    </w:p>
    <w:p>
      <w:pPr>
        <w:pStyle w:val="21"/>
        <w:spacing w:line="360" w:lineRule="auto"/>
        <w:rPr>
          <w:rFonts w:ascii="Times New Roman" w:hAnsi="Times New Roman" w:cs="Times New Roman"/>
          <w:kern w:val="2"/>
          <w:szCs w:val="28"/>
          <w:highlight w:val="none"/>
        </w:rPr>
      </w:pPr>
      <w:r>
        <w:rPr>
          <w:rFonts w:ascii="Times New Roman" w:hAnsi="Times New Roman" w:cs="Times New Roman"/>
          <w:highlight w:val="none"/>
          <w:lang w:val="vi-VN"/>
        </w:rPr>
        <w:t>- Trạm 220kV KrongBuk được xây dựng từ năm 2021 và đóng điện năm 2022.</w:t>
      </w:r>
    </w:p>
    <w:p>
      <w:pPr>
        <w:rPr>
          <w:rFonts w:ascii="Times New Roman" w:hAnsi="Times New Roman" w:cs="Times New Roman"/>
          <w:highlight w:val="none"/>
          <w:lang w:val="vi-VN"/>
        </w:rPr>
      </w:pPr>
      <w:r>
        <w:rPr>
          <w:rFonts w:ascii="Times New Roman" w:hAnsi="Times New Roman" w:cs="Times New Roman"/>
          <w:highlight w:val="none"/>
          <w:lang w:val="vi-VN"/>
        </w:rPr>
        <w:t>KrongBuk 220kV电站将于2021年建成，2022年并网。</w:t>
      </w:r>
    </w:p>
    <w:p>
      <w:pPr>
        <w:rPr>
          <w:rFonts w:ascii="Times New Roman" w:hAnsi="Times New Roman" w:cs="Times New Roman"/>
          <w:highlight w:val="none"/>
          <w:lang w:val="vi-VN"/>
        </w:rPr>
      </w:pPr>
      <w:r>
        <w:rPr>
          <w:rFonts w:ascii="Times New Roman" w:hAnsi="Times New Roman" w:cs="Times New Roman"/>
          <w:highlight w:val="none"/>
          <w:lang w:val="vi-VN"/>
        </w:rPr>
        <w:t>- Trạm được xây dựng nhằm nâng công suất của 04 nhà máy điện gió Cư Né 1, Cư Né 2, KrongBuk 1, KrongBuk 2.</w:t>
      </w:r>
      <w:r>
        <w:rPr>
          <w:rFonts w:ascii="Times New Roman" w:hAnsi="Times New Roman" w:cs="Times New Roman"/>
          <w:highlight w:val="none"/>
          <w:lang w:val="vi-VN"/>
        </w:rPr>
        <w:tab/>
      </w:r>
      <w:r>
        <w:rPr>
          <w:rFonts w:ascii="Times New Roman" w:hAnsi="Times New Roman" w:cs="Times New Roman"/>
          <w:highlight w:val="none"/>
          <w:lang w:val="vi-VN"/>
        </w:rPr>
        <w:tab/>
      </w:r>
    </w:p>
    <w:p>
      <w:pPr>
        <w:rPr>
          <w:rFonts w:ascii="Times New Roman" w:hAnsi="Times New Roman" w:cs="Times New Roman"/>
          <w:highlight w:val="none"/>
        </w:rPr>
      </w:pPr>
      <w:r>
        <w:rPr>
          <w:rFonts w:ascii="Times New Roman" w:hAnsi="Times New Roman" w:cs="Times New Roman"/>
          <w:highlight w:val="none"/>
        </w:rPr>
        <w:t>- 该电站的建设是为了 04 个风电场输电 Cu Ne 1、Cu Ne 2、KrongBuk 1、KrongBuk 2。</w:t>
      </w:r>
    </w:p>
    <w:p>
      <w:pPr>
        <w:rPr>
          <w:rFonts w:ascii="Times New Roman" w:hAnsi="Times New Roman" w:cs="Times New Roman"/>
          <w:highlight w:val="none"/>
        </w:rPr>
      </w:pPr>
      <w:r>
        <w:rPr>
          <w:rFonts w:ascii="Times New Roman" w:hAnsi="Times New Roman" w:cs="Times New Roman"/>
          <w:highlight w:val="none"/>
        </w:rPr>
        <w:t>- Trạm bao gồm</w:t>
      </w:r>
    </w:p>
    <w:p>
      <w:pPr>
        <w:pStyle w:val="21"/>
        <w:spacing w:line="360" w:lineRule="auto"/>
        <w:rPr>
          <w:rFonts w:ascii="Times New Roman" w:hAnsi="Times New Roman" w:cs="Times New Roman"/>
          <w:kern w:val="2"/>
          <w:szCs w:val="28"/>
          <w:highlight w:val="none"/>
          <w:lang w:val="vi-VN"/>
        </w:rPr>
      </w:pPr>
      <w:bookmarkStart w:id="22" w:name="_Toc28263"/>
      <w:r>
        <w:rPr>
          <w:rFonts w:ascii="Times New Roman" w:hAnsi="Times New Roman" w:cs="Times New Roman"/>
          <w:kern w:val="2"/>
          <w:szCs w:val="28"/>
          <w:highlight w:val="none"/>
        </w:rPr>
        <w:t>2.3 采购范围</w:t>
      </w:r>
      <w:bookmarkEnd w:id="22"/>
      <w:r>
        <w:rPr>
          <w:rFonts w:ascii="Times New Roman" w:hAnsi="Times New Roman" w:cs="Times New Roman"/>
          <w:kern w:val="2"/>
          <w:szCs w:val="28"/>
          <w:highlight w:val="none"/>
          <w:lang w:val="vi-VN"/>
        </w:rPr>
        <w:t xml:space="preserve"> Phạm vi mua sắm</w:t>
      </w:r>
    </w:p>
    <w:p>
      <w:pPr>
        <w:pStyle w:val="21"/>
        <w:spacing w:line="360" w:lineRule="auto"/>
        <w:ind w:firstLine="480" w:firstLineChars="200"/>
        <w:rPr>
          <w:rFonts w:ascii="Times New Roman" w:hAnsi="Times New Roman" w:cs="Times New Roman"/>
          <w:kern w:val="2"/>
          <w:szCs w:val="28"/>
          <w:highlight w:val="none"/>
        </w:rPr>
      </w:pPr>
      <w:r>
        <w:rPr>
          <w:rFonts w:ascii="Times New Roman" w:hAnsi="Times New Roman" w:cs="Times New Roman"/>
          <w:kern w:val="2"/>
          <w:szCs w:val="28"/>
          <w:highlight w:val="none"/>
        </w:rPr>
        <w:t>协助委托方完成</w:t>
      </w:r>
      <w:bookmarkStart w:id="23" w:name="_Toc26734"/>
      <w:r>
        <w:rPr>
          <w:rFonts w:hint="eastAsia" w:ascii="Times New Roman" w:hAnsi="Times New Roman" w:cs="Times New Roman"/>
          <w:kern w:val="2"/>
          <w:szCs w:val="28"/>
          <w:highlight w:val="none"/>
        </w:rPr>
        <w:t>风机锚栓拉伸检测服务，对检测锚栓防锈处理，出具检测报告。</w:t>
      </w:r>
      <w:r>
        <w:rPr>
          <w:rFonts w:ascii="Times New Roman" w:hAnsi="Times New Roman" w:cs="Times New Roman"/>
          <w:kern w:val="2"/>
          <w:szCs w:val="28"/>
          <w:highlight w:val="none"/>
        </w:rPr>
        <w:t>Hỗ trợ khách hàng hoàn thành dịch vụ kiểm tra độ bền kéo của bu lông neo tuabin gió, tiến hành xử lý chống gỉ đối với bu lông neo và đưa ra báo cáo thí nghiệm.</w:t>
      </w:r>
    </w:p>
    <w:bookmarkEnd w:id="23"/>
    <w:p>
      <w:pPr>
        <w:pStyle w:val="3"/>
        <w:rPr>
          <w:rFonts w:ascii="Times New Roman" w:hAnsi="Times New Roman" w:cs="Times New Roman"/>
          <w:highlight w:val="none"/>
        </w:rPr>
      </w:pPr>
      <w:bookmarkStart w:id="24" w:name="_Toc32444"/>
      <w:r>
        <w:rPr>
          <w:rFonts w:ascii="Times New Roman" w:hAnsi="Times New Roman" w:cs="Times New Roman"/>
          <w:highlight w:val="none"/>
        </w:rPr>
        <w:t>三、引用的标准及规范</w:t>
      </w:r>
      <w:bookmarkEnd w:id="24"/>
      <w:r>
        <w:rPr>
          <w:rFonts w:hint="eastAsia" w:ascii="Times New Roman" w:hAnsi="Times New Roman" w:cs="Times New Roman"/>
          <w:highlight w:val="none"/>
        </w:rPr>
        <w:t xml:space="preserve"> </w:t>
      </w:r>
      <w:r>
        <w:rPr>
          <w:rFonts w:ascii="Times New Roman" w:hAnsi="Times New Roman" w:cs="Times New Roman"/>
          <w:highlight w:val="none"/>
        </w:rPr>
        <w:t>Tiêu chuẩn và thông số kỹ thuật tham khảo</w:t>
      </w:r>
    </w:p>
    <w:p>
      <w:pPr>
        <w:spacing w:line="360" w:lineRule="auto"/>
        <w:ind w:firstLine="480" w:firstLineChars="200"/>
        <w:rPr>
          <w:rFonts w:ascii="Times New Roman" w:hAnsi="Times New Roman" w:cs="Times New Roman"/>
          <w:szCs w:val="28"/>
          <w:highlight w:val="none"/>
        </w:rPr>
      </w:pPr>
      <w:r>
        <w:rPr>
          <w:rFonts w:ascii="Times New Roman" w:hAnsi="Times New Roman" w:cs="Times New Roman"/>
          <w:szCs w:val="28"/>
          <w:highlight w:val="none"/>
        </w:rPr>
        <w:t>所有标准均会被修改，受托方在设备检修的各项规程、规范和标准必须遵循现行最新版本的越南国家标准、行业标准、公司标准。</w:t>
      </w:r>
    </w:p>
    <w:p>
      <w:pPr>
        <w:pStyle w:val="21"/>
        <w:spacing w:line="276" w:lineRule="auto"/>
        <w:ind w:firstLine="480" w:firstLineChars="200"/>
        <w:rPr>
          <w:rFonts w:ascii="Times New Roman" w:hAnsi="Times New Roman" w:cs="Times New Roman"/>
          <w:highlight w:val="none"/>
        </w:rPr>
      </w:pPr>
      <w:r>
        <w:rPr>
          <w:rFonts w:ascii="Times New Roman" w:hAnsi="Times New Roman" w:cs="Times New Roman"/>
          <w:highlight w:val="none"/>
        </w:rPr>
        <w:t xml:space="preserve">Tất cả các tiêu chuẩn </w:t>
      </w:r>
      <w:r>
        <w:rPr>
          <w:rFonts w:ascii="Times New Roman" w:hAnsi="Times New Roman" w:cs="Times New Roman"/>
          <w:highlight w:val="none"/>
          <w:lang w:val="vi-VN"/>
        </w:rPr>
        <w:t xml:space="preserve">có thể sẽ </w:t>
      </w:r>
      <w:r>
        <w:rPr>
          <w:rFonts w:ascii="Times New Roman" w:hAnsi="Times New Roman" w:cs="Times New Roman"/>
          <w:highlight w:val="none"/>
        </w:rPr>
        <w:t xml:space="preserve">được sửa đổi và các quy trình, thông số kỹ </w:t>
      </w:r>
      <w:r>
        <w:rPr>
          <w:rFonts w:ascii="Times New Roman" w:hAnsi="Times New Roman" w:cs="Times New Roman"/>
          <w:kern w:val="2"/>
          <w:szCs w:val="28"/>
          <w:highlight w:val="none"/>
        </w:rPr>
        <w:t>thuật</w:t>
      </w:r>
      <w:r>
        <w:rPr>
          <w:rFonts w:ascii="Times New Roman" w:hAnsi="Times New Roman" w:cs="Times New Roman"/>
          <w:highlight w:val="none"/>
        </w:rPr>
        <w:t xml:space="preserve"> và tiêu chuẩn khác của </w:t>
      </w:r>
      <w:r>
        <w:rPr>
          <w:rFonts w:ascii="Times New Roman" w:hAnsi="Times New Roman" w:cs="Times New Roman"/>
          <w:highlight w:val="none"/>
          <w:lang w:val="vi-VN"/>
        </w:rPr>
        <w:t xml:space="preserve">Nhà thầu </w:t>
      </w:r>
      <w:r>
        <w:rPr>
          <w:rFonts w:ascii="Times New Roman" w:hAnsi="Times New Roman" w:cs="Times New Roman"/>
          <w:highlight w:val="none"/>
        </w:rPr>
        <w:t>phải tuân thủ</w:t>
      </w:r>
      <w:r>
        <w:rPr>
          <w:rFonts w:ascii="Times New Roman" w:hAnsi="Times New Roman" w:cs="Times New Roman"/>
          <w:highlight w:val="none"/>
          <w:lang w:val="vi-VN"/>
        </w:rPr>
        <w:t xml:space="preserve"> bản cập nhận gần nhất của</w:t>
      </w:r>
      <w:r>
        <w:rPr>
          <w:rFonts w:ascii="Times New Roman" w:hAnsi="Times New Roman" w:cs="Times New Roman"/>
          <w:highlight w:val="none"/>
        </w:rPr>
        <w:t xml:space="preserve"> tiêu </w:t>
      </w:r>
      <w:r>
        <w:rPr>
          <w:rFonts w:ascii="Times New Roman" w:hAnsi="Times New Roman" w:cs="Times New Roman"/>
          <w:highlight w:val="none"/>
          <w:lang w:val="vi-VN"/>
        </w:rPr>
        <w:t>chuẩn</w:t>
      </w:r>
      <w:r>
        <w:rPr>
          <w:rFonts w:ascii="Times New Roman" w:hAnsi="Times New Roman" w:cs="Times New Roman"/>
          <w:highlight w:val="none"/>
        </w:rPr>
        <w:t xml:space="preserve"> quốc gia hiện hành của Việt Nam, tiêu chuẩn ngành</w:t>
      </w:r>
      <w:r>
        <w:rPr>
          <w:rFonts w:ascii="Times New Roman" w:hAnsi="Times New Roman" w:cs="Times New Roman"/>
          <w:highlight w:val="none"/>
          <w:lang w:val="vi-VN"/>
        </w:rPr>
        <w:t xml:space="preserve"> Điện</w:t>
      </w:r>
      <w:r>
        <w:rPr>
          <w:rFonts w:ascii="Times New Roman" w:hAnsi="Times New Roman" w:cs="Times New Roman"/>
          <w:highlight w:val="none"/>
        </w:rPr>
        <w:t xml:space="preserve"> và </w:t>
      </w:r>
      <w:r>
        <w:rPr>
          <w:rFonts w:ascii="Times New Roman" w:hAnsi="Times New Roman" w:cs="Times New Roman"/>
          <w:highlight w:val="none"/>
          <w:lang w:val="vi-VN"/>
        </w:rPr>
        <w:t>các tiêu chuẩn khác</w:t>
      </w:r>
      <w:r>
        <w:rPr>
          <w:rFonts w:ascii="Times New Roman" w:hAnsi="Times New Roman" w:cs="Times New Roman"/>
          <w:highlight w:val="none"/>
        </w:rPr>
        <w:t>.</w:t>
      </w:r>
    </w:p>
    <w:p>
      <w:pPr>
        <w:pStyle w:val="39"/>
        <w:spacing w:line="276" w:lineRule="auto"/>
        <w:ind w:left="426"/>
        <w:rPr>
          <w:rFonts w:ascii="Times New Roman" w:hAnsi="Times New Roman" w:cs="Times New Roman"/>
          <w:szCs w:val="28"/>
          <w:highlight w:val="none"/>
        </w:rPr>
      </w:pPr>
      <w:r>
        <w:rPr>
          <w:rFonts w:ascii="Times New Roman" w:hAnsi="Times New Roman" w:cs="Times New Roman"/>
          <w:szCs w:val="28"/>
          <w:highlight w:val="none"/>
        </w:rPr>
        <w:t>《</w:t>
      </w:r>
      <w:r>
        <w:rPr>
          <w:rFonts w:hint="eastAsia" w:ascii="Times New Roman" w:hAnsi="Times New Roman" w:cs="Times New Roman"/>
          <w:szCs w:val="28"/>
          <w:highlight w:val="none"/>
        </w:rPr>
        <w:t>越南得乐项目锚栓张拉要求</w:t>
      </w:r>
      <w:r>
        <w:rPr>
          <w:rFonts w:ascii="Times New Roman" w:hAnsi="Times New Roman" w:cs="Times New Roman"/>
          <w:szCs w:val="28"/>
          <w:highlight w:val="none"/>
        </w:rPr>
        <w:t>》</w:t>
      </w:r>
      <w:r>
        <w:rPr>
          <w:rFonts w:hint="eastAsia" w:ascii="Times New Roman" w:hAnsi="Times New Roman" w:cs="Times New Roman"/>
          <w:szCs w:val="28"/>
          <w:highlight w:val="none"/>
        </w:rPr>
        <w:t>湖南飞沃新能源科技股份有限公司</w:t>
      </w:r>
    </w:p>
    <w:p>
      <w:pPr>
        <w:pStyle w:val="6"/>
        <w:spacing w:line="276" w:lineRule="auto"/>
        <w:ind w:left="426" w:firstLine="0"/>
        <w:rPr>
          <w:rFonts w:ascii="Times New Roman" w:hAnsi="Times New Roman"/>
          <w:bCs/>
          <w:sz w:val="24"/>
          <w:szCs w:val="28"/>
          <w:highlight w:val="none"/>
          <w:lang w:val="en-US" w:bidi="ar-SA"/>
        </w:rPr>
      </w:pPr>
      <w:r>
        <w:rPr>
          <w:rFonts w:ascii="Times New Roman" w:hAnsi="Times New Roman"/>
          <w:bCs/>
          <w:sz w:val="24"/>
          <w:szCs w:val="28"/>
          <w:highlight w:val="none"/>
          <w:lang w:val="en-US" w:bidi="ar-SA"/>
        </w:rPr>
        <w:t>"Yêu cầu lực căng bu lông neo cho dự án Daklak Việt Nam" Công ty TNHH Công nghệ năng lượng mới Phi Ốc Hồ Nam</w:t>
      </w:r>
    </w:p>
    <w:p>
      <w:pPr>
        <w:pStyle w:val="6"/>
        <w:spacing w:line="276" w:lineRule="auto"/>
        <w:ind w:left="426" w:firstLine="0"/>
        <w:rPr>
          <w:rFonts w:ascii="Times New Roman" w:hAnsi="Times New Roman"/>
          <w:sz w:val="24"/>
          <w:szCs w:val="28"/>
          <w:highlight w:val="none"/>
          <w:lang w:val="en-US" w:bidi="ar-SA"/>
        </w:rPr>
      </w:pPr>
      <w:r>
        <w:rPr>
          <w:rFonts w:ascii="Times New Roman" w:hAnsi="Times New Roman"/>
          <w:sz w:val="24"/>
          <w:szCs w:val="28"/>
          <w:highlight w:val="none"/>
          <w:lang w:val="en-US" w:bidi="ar-SA"/>
        </w:rPr>
        <w:t>《</w:t>
      </w:r>
      <w:r>
        <w:rPr>
          <w:rFonts w:hint="eastAsia" w:ascii="Times New Roman" w:hAnsi="Times New Roman"/>
          <w:sz w:val="24"/>
          <w:szCs w:val="28"/>
          <w:highlight w:val="none"/>
          <w:lang w:val="en-US" w:bidi="ar-SA"/>
        </w:rPr>
        <w:t>风机维护手册</w:t>
      </w:r>
      <w:r>
        <w:rPr>
          <w:rFonts w:ascii="Times New Roman" w:hAnsi="Times New Roman"/>
          <w:sz w:val="24"/>
          <w:szCs w:val="28"/>
          <w:highlight w:val="none"/>
          <w:lang w:val="en-US" w:bidi="ar-SA"/>
        </w:rPr>
        <w:t>》</w:t>
      </w:r>
      <w:r>
        <w:rPr>
          <w:rFonts w:hint="eastAsia" w:ascii="Times New Roman" w:hAnsi="Times New Roman"/>
          <w:sz w:val="24"/>
          <w:szCs w:val="28"/>
          <w:highlight w:val="none"/>
          <w:lang w:val="en-US" w:bidi="ar-SA"/>
        </w:rPr>
        <w:t>远景能源</w:t>
      </w:r>
      <w:r>
        <w:rPr>
          <w:rFonts w:hint="eastAsia" w:ascii="Times New Roman" w:hAnsi="Times New Roman"/>
          <w:sz w:val="24"/>
          <w:szCs w:val="28"/>
          <w:highlight w:val="none"/>
          <w:lang w:val="en-US" w:bidi="ar-SA"/>
        </w:rPr>
        <w:t xml:space="preserve"> </w:t>
      </w:r>
      <w:r>
        <w:rPr>
          <w:rFonts w:ascii="Times New Roman" w:hAnsi="Times New Roman"/>
          <w:sz w:val="24"/>
          <w:szCs w:val="28"/>
          <w:highlight w:val="none"/>
          <w:lang w:val="en-US" w:bidi="ar-SA"/>
        </w:rPr>
        <w:t>"Sổ tay bảo trì tuabin gió" Envision Energy</w:t>
      </w:r>
    </w:p>
    <w:p>
      <w:pPr>
        <w:pStyle w:val="39"/>
        <w:spacing w:line="276" w:lineRule="auto"/>
        <w:ind w:left="426"/>
        <w:rPr>
          <w:rFonts w:ascii="Times New Roman" w:hAnsi="Times New Roman" w:cs="Times New Roman"/>
          <w:szCs w:val="28"/>
          <w:highlight w:val="none"/>
        </w:rPr>
      </w:pPr>
      <w:r>
        <w:rPr>
          <w:rFonts w:ascii="Times New Roman" w:hAnsi="Times New Roman" w:cs="Times New Roman"/>
          <w:szCs w:val="28"/>
          <w:highlight w:val="none"/>
        </w:rPr>
        <w:t>Nghị định số 14/2014/NĐ-CP của Chính phủ: Quy định chi tiết thi hành Luật điện lực về an toàn điện</w:t>
      </w:r>
    </w:p>
    <w:p>
      <w:pPr>
        <w:pStyle w:val="39"/>
        <w:spacing w:before="240" w:line="276" w:lineRule="auto"/>
        <w:ind w:left="426"/>
        <w:rPr>
          <w:rFonts w:ascii="Times New Roman" w:hAnsi="Times New Roman" w:cs="Times New Roman"/>
          <w:szCs w:val="28"/>
          <w:highlight w:val="none"/>
        </w:rPr>
      </w:pPr>
      <w:r>
        <w:rPr>
          <w:rFonts w:hint="eastAsia" w:ascii="Times New Roman" w:hAnsi="Times New Roman" w:cs="Times New Roman"/>
          <w:szCs w:val="28"/>
          <w:highlight w:val="none"/>
        </w:rPr>
        <w:t>越南电力集团EVN风力发电厂和太阳能发电厂商业运营日期的测试、验收和认可程序</w:t>
      </w:r>
    </w:p>
    <w:p>
      <w:pPr>
        <w:pStyle w:val="39"/>
        <w:spacing w:line="276" w:lineRule="auto"/>
        <w:ind w:left="426"/>
        <w:rPr>
          <w:rFonts w:ascii="Times New Roman" w:hAnsi="Times New Roman" w:cs="Times New Roman"/>
          <w:szCs w:val="28"/>
          <w:highlight w:val="none"/>
        </w:rPr>
      </w:pPr>
      <w:r>
        <w:rPr>
          <w:rFonts w:ascii="Times New Roman" w:hAnsi="Times New Roman" w:cs="Times New Roman"/>
          <w:szCs w:val="28"/>
          <w:highlight w:val="none"/>
        </w:rPr>
        <w:t>Quy trình thử nghiệm, nghiệm thu và công nhận ngày vận hành thương mại nhà máy điện gió và nhà máy điện mặt trời của Tập đoàn Điện lực Việt Nam EVN</w:t>
      </w:r>
    </w:p>
    <w:p>
      <w:pPr>
        <w:tabs>
          <w:tab w:val="left" w:pos="5745"/>
        </w:tabs>
        <w:spacing w:line="276" w:lineRule="auto"/>
        <w:ind w:left="426"/>
        <w:rPr>
          <w:rFonts w:ascii="Times New Roman" w:hAnsi="Times New Roman" w:cs="Times New Roman"/>
          <w:szCs w:val="28"/>
          <w:highlight w:val="none"/>
        </w:rPr>
      </w:pPr>
      <w:r>
        <w:rPr>
          <w:rFonts w:ascii="Times New Roman" w:hAnsi="Times New Roman" w:cs="Times New Roman"/>
          <w:szCs w:val="28"/>
          <w:highlight w:val="none"/>
        </w:rPr>
        <w:t>GB 26860-2011 Safety Code of Electric Power Industry (Electrical Part of Power Plants and Transformer Substations) 《电力安全工作规程（发电厂和变电站电气部分）》</w:t>
      </w:r>
    </w:p>
    <w:p>
      <w:pPr>
        <w:spacing w:line="276" w:lineRule="auto"/>
        <w:ind w:left="426"/>
        <w:rPr>
          <w:rFonts w:ascii="Times New Roman" w:hAnsi="Times New Roman" w:cs="Times New Roman"/>
          <w:szCs w:val="28"/>
          <w:highlight w:val="none"/>
        </w:rPr>
      </w:pPr>
      <w:bookmarkStart w:id="25" w:name="OLE_LINK1"/>
      <w:r>
        <w:rPr>
          <w:rFonts w:ascii="Times New Roman" w:hAnsi="Times New Roman" w:cs="Times New Roman"/>
          <w:szCs w:val="28"/>
          <w:highlight w:val="none"/>
        </w:rPr>
        <w:t>Safety Code of Electric Power Industry (Part of Wind Power and Photovoltaic Power) 电力安全工作规程（风力发电和光伏发电部分）（Q/CHD 16-2019）</w:t>
      </w:r>
    </w:p>
    <w:bookmarkEnd w:id="25"/>
    <w:p>
      <w:pPr>
        <w:spacing w:line="276" w:lineRule="auto"/>
        <w:ind w:left="426"/>
        <w:rPr>
          <w:rFonts w:ascii="Times New Roman" w:hAnsi="Times New Roman" w:cs="Times New Roman"/>
          <w:szCs w:val="28"/>
          <w:highlight w:val="none"/>
        </w:rPr>
      </w:pPr>
      <w:r>
        <w:rPr>
          <w:rFonts w:ascii="Times New Roman" w:hAnsi="Times New Roman" w:cs="Times New Roman"/>
          <w:szCs w:val="28"/>
          <w:highlight w:val="none"/>
        </w:rPr>
        <w:t>Technical Supervision Enforcement Regulations for New Energy Power Generation Enterprises of China Huadian Corporation 《中国华电集团有限公司新能源发电企业技术监督实施细则》</w:t>
      </w:r>
    </w:p>
    <w:p>
      <w:pPr>
        <w:spacing w:line="276" w:lineRule="auto"/>
        <w:ind w:left="426"/>
        <w:rPr>
          <w:rFonts w:ascii="Times New Roman" w:hAnsi="Times New Roman" w:cs="Times New Roman"/>
          <w:szCs w:val="28"/>
          <w:highlight w:val="none"/>
        </w:rPr>
      </w:pPr>
      <w:r>
        <w:rPr>
          <w:rFonts w:ascii="Times New Roman" w:hAnsi="Times New Roman" w:cs="Times New Roman"/>
          <w:szCs w:val="28"/>
          <w:highlight w:val="none"/>
        </w:rPr>
        <w:t>Management Method for Hydropower and New Energy Maintenance of China Huadian Corporation (Trial) 《中国华电集团有限公司水电与新能源检修管理办法（试行）》</w:t>
      </w:r>
    </w:p>
    <w:p>
      <w:pPr>
        <w:pStyle w:val="2"/>
        <w:spacing w:line="276" w:lineRule="auto"/>
        <w:ind w:left="426"/>
        <w:rPr>
          <w:rFonts w:ascii="Times New Roman" w:hAnsi="Times New Roman"/>
          <w:b w:val="0"/>
          <w:kern w:val="2"/>
          <w:sz w:val="24"/>
          <w:szCs w:val="28"/>
          <w:highlight w:val="none"/>
        </w:rPr>
      </w:pPr>
      <w:r>
        <w:rPr>
          <w:rFonts w:ascii="Times New Roman" w:hAnsi="Times New Roman"/>
          <w:b w:val="0"/>
          <w:kern w:val="2"/>
          <w:sz w:val="24"/>
          <w:szCs w:val="28"/>
          <w:highlight w:val="none"/>
        </w:rPr>
        <w:t>Local technical standards and norms of Vietnam etc. 越南当地相关技术标准、规范等</w:t>
      </w:r>
    </w:p>
    <w:p>
      <w:pPr>
        <w:pStyle w:val="3"/>
        <w:rPr>
          <w:rFonts w:ascii="Times New Roman" w:hAnsi="Times New Roman" w:cs="Times New Roman"/>
          <w:highlight w:val="none"/>
        </w:rPr>
      </w:pPr>
      <w:bookmarkStart w:id="26" w:name="_Toc25807"/>
      <w:r>
        <w:rPr>
          <w:rFonts w:ascii="Times New Roman" w:hAnsi="Times New Roman" w:cs="Times New Roman"/>
          <w:highlight w:val="none"/>
        </w:rPr>
        <w:t>四、服务范围</w:t>
      </w:r>
      <w:bookmarkEnd w:id="26"/>
      <w:r>
        <w:rPr>
          <w:rFonts w:hint="eastAsia" w:ascii="Times New Roman" w:hAnsi="Times New Roman" w:cs="Times New Roman"/>
          <w:highlight w:val="none"/>
        </w:rPr>
        <w:t xml:space="preserve"> </w:t>
      </w:r>
      <w:r>
        <w:rPr>
          <w:rFonts w:ascii="Times New Roman" w:hAnsi="Times New Roman" w:cs="Times New Roman"/>
          <w:highlight w:val="none"/>
        </w:rPr>
        <w:t>PHẠM VI DỊCH VỤ</w:t>
      </w:r>
    </w:p>
    <w:p>
      <w:pPr>
        <w:spacing w:line="360" w:lineRule="auto"/>
        <w:ind w:firstLine="480" w:firstLineChars="200"/>
        <w:rPr>
          <w:rFonts w:ascii="Times New Roman" w:hAnsi="Times New Roman" w:cs="Times New Roman"/>
          <w:szCs w:val="28"/>
          <w:highlight w:val="none"/>
        </w:rPr>
      </w:pPr>
      <w:r>
        <w:rPr>
          <w:rFonts w:hint="eastAsia" w:ascii="Times New Roman" w:hAnsi="Times New Roman" w:cs="Times New Roman"/>
          <w:szCs w:val="28"/>
          <w:highlight w:val="none"/>
          <w:lang w:val="vi-VN"/>
        </w:rPr>
        <w:t xml:space="preserve">1. </w:t>
      </w:r>
      <w:r>
        <w:rPr>
          <w:rFonts w:hint="eastAsia" w:ascii="Times New Roman" w:hAnsi="Times New Roman" w:cs="Times New Roman"/>
          <w:szCs w:val="28"/>
          <w:highlight w:val="none"/>
        </w:rPr>
        <w:t>检查所有锚栓螺栓及垫片是否出现防腐涂层破 坏、锈蚀、变形和损坏，防护帽无丢失。 检查螺栓一字标记线无移位，螺栓无松动。</w:t>
      </w:r>
      <w:r>
        <w:rPr>
          <w:rFonts w:ascii="Times New Roman" w:hAnsi="Times New Roman" w:cs="Times New Roman"/>
          <w:szCs w:val="28"/>
          <w:highlight w:val="none"/>
        </w:rPr>
        <w:t>Kiểm tra tất cả các bu lông neo và miếng đệm xem có hư hỏng lớp phủ chống ăn mòn, biến dạng và hư hỏng hay không và n</w:t>
      </w:r>
      <w:r>
        <w:rPr>
          <w:rFonts w:ascii="Times New Roman" w:hAnsi="Times New Roman" w:eastAsia="MS Gothic" w:cs="Times New Roman"/>
          <w:szCs w:val="28"/>
          <w:highlight w:val="none"/>
        </w:rPr>
        <w:t>ắp</w:t>
      </w:r>
      <w:r>
        <w:rPr>
          <w:rFonts w:ascii="Times New Roman" w:hAnsi="Times New Roman" w:cs="Times New Roman" w:eastAsiaTheme="minorEastAsia"/>
          <w:szCs w:val="28"/>
          <w:highlight w:val="none"/>
        </w:rPr>
        <w:t xml:space="preserve"> bảo vệ có bị mất </w:t>
      </w:r>
      <w:r>
        <w:rPr>
          <w:rFonts w:ascii="Times New Roman" w:hAnsi="Times New Roman" w:eastAsia="MS Gothic" w:cs="Times New Roman"/>
          <w:szCs w:val="28"/>
          <w:highlight w:val="none"/>
        </w:rPr>
        <w:t>đ</w:t>
      </w:r>
      <w:r>
        <w:rPr>
          <w:rFonts w:ascii="Times New Roman" w:hAnsi="Times New Roman" w:cs="Times New Roman" w:eastAsiaTheme="minorEastAsia"/>
          <w:szCs w:val="28"/>
          <w:highlight w:val="none"/>
        </w:rPr>
        <w:t>i không</w:t>
      </w:r>
      <w:r>
        <w:rPr>
          <w:rFonts w:ascii="Times New Roman" w:hAnsi="Times New Roman" w:cs="Times New Roman"/>
          <w:szCs w:val="28"/>
          <w:highlight w:val="none"/>
        </w:rPr>
        <w:t>. Kiểm tra để đảm bảo vạch đánh dấu bu lông không bị dịch chuyển và các bu lông không bị lỏng.</w:t>
      </w:r>
    </w:p>
    <w:p>
      <w:pPr>
        <w:spacing w:line="360" w:lineRule="auto"/>
        <w:ind w:firstLine="480" w:firstLineChars="200"/>
        <w:rPr>
          <w:rFonts w:ascii="Times New Roman" w:hAnsi="Times New Roman" w:cs="Times New Roman"/>
          <w:szCs w:val="28"/>
          <w:highlight w:val="none"/>
          <w:lang w:val="vi-VN"/>
        </w:rPr>
      </w:pPr>
      <w:r>
        <w:rPr>
          <w:rFonts w:hint="eastAsia" w:ascii="Times New Roman" w:hAnsi="Times New Roman" w:cs="Times New Roman"/>
          <w:szCs w:val="28"/>
          <w:highlight w:val="none"/>
        </w:rPr>
        <w:t>2.</w:t>
      </w:r>
      <w:r>
        <w:rPr>
          <w:rFonts w:ascii="Times New Roman" w:hAnsi="Times New Roman" w:cs="Times New Roman"/>
          <w:szCs w:val="28"/>
          <w:highlight w:val="none"/>
          <w:lang w:val="vi-VN"/>
        </w:rPr>
        <w:t xml:space="preserve"> </w:t>
      </w:r>
      <w:r>
        <w:rPr>
          <w:rFonts w:hint="eastAsia" w:ascii="Times New Roman" w:hAnsi="Times New Roman" w:cs="Times New Roman"/>
          <w:szCs w:val="28"/>
          <w:highlight w:val="none"/>
        </w:rPr>
        <w:t>锚栓防腐涂层破损或失效时重新做好防腐；当塔筒法兰防腐涂层出现轻微破损，及时做好防腐；当螺栓出现锈蚀、变形、损坏，塔筒法兰和塔筒壁防腐层出现严重而非轻微破损时，及时汇报甲方。</w:t>
      </w:r>
      <w:r>
        <w:rPr>
          <w:rFonts w:ascii="Times New Roman" w:hAnsi="Times New Roman" w:cs="Times New Roman"/>
          <w:szCs w:val="28"/>
          <w:highlight w:val="none"/>
          <w:lang w:val="vi-VN"/>
        </w:rPr>
        <w:t xml:space="preserve">Khi lớp phủ chống ăn mòn bị hư hỏng hoặc tới lúc bị mất hiệu lực thì cần bắt đầu làm lại lớp phủ chống ăn mòn; </w:t>
      </w:r>
      <w:r>
        <w:rPr>
          <w:rFonts w:ascii="Times New Roman" w:hAnsi="Times New Roman" w:cs="Times New Roman"/>
          <w:szCs w:val="28"/>
          <w:highlight w:val="none"/>
          <w:lang w:val="vi-VN"/>
        </w:rPr>
        <w:t>khi lớp phủ chống ăn mòn của mặt bích trụ tháp bị hư hỏng nhẹ, cần kịp thời thực hiện lớp phủ chống ăn mòn; Khi bu lông bị rỉ sét, biến dạng hoặc hư hỏng, mặt bích trụ tháp và lớp chống ăn mòn thành trụ tháp bị hư hỏng nặng hoặc không nhẹ thì phải báo cáo kịp thời cho bên A.</w:t>
      </w:r>
    </w:p>
    <w:p>
      <w:pPr>
        <w:spacing w:line="360" w:lineRule="auto"/>
        <w:ind w:firstLine="480" w:firstLineChars="200"/>
        <w:rPr>
          <w:rFonts w:ascii="Times New Roman" w:hAnsi="Times New Roman" w:cs="Times New Roman"/>
          <w:szCs w:val="28"/>
          <w:highlight w:val="none"/>
        </w:rPr>
      </w:pPr>
      <w:r>
        <w:rPr>
          <w:rFonts w:hint="eastAsia" w:ascii="Times New Roman" w:hAnsi="Times New Roman" w:cs="Times New Roman"/>
          <w:szCs w:val="28"/>
          <w:highlight w:val="none"/>
        </w:rPr>
        <w:t>3</w:t>
      </w:r>
      <w:r>
        <w:rPr>
          <w:rFonts w:ascii="Times New Roman" w:hAnsi="Times New Roman" w:cs="Times New Roman"/>
          <w:szCs w:val="28"/>
          <w:highlight w:val="none"/>
          <w:lang w:val="vi-VN"/>
        </w:rPr>
        <w:t xml:space="preserve">. </w:t>
      </w:r>
      <w:r>
        <w:rPr>
          <w:rFonts w:hint="eastAsia" w:ascii="Times New Roman" w:hAnsi="Times New Roman" w:cs="Times New Roman"/>
          <w:szCs w:val="28"/>
          <w:highlight w:val="none"/>
        </w:rPr>
        <w:t xml:space="preserve">按照2.65MW风机锚栓抽检36颗（内外圈各18颗），检查张拉力590KN；3.0MW风机锚栓抽检40颗（内外圈各20颗），检查张拉力612KN。除了抽检的螺栓外，内外圈 </w:t>
      </w:r>
      <w:r>
        <w:rPr>
          <w:rFonts w:ascii="Times New Roman" w:hAnsi="Times New Roman" w:cs="Times New Roman"/>
          <w:szCs w:val="28"/>
          <w:highlight w:val="none"/>
        </w:rPr>
        <w:t xml:space="preserve">1 </w:t>
      </w:r>
      <w:r>
        <w:rPr>
          <w:rFonts w:hint="eastAsia" w:ascii="Times New Roman" w:hAnsi="Times New Roman" w:cs="Times New Roman"/>
          <w:szCs w:val="28"/>
          <w:highlight w:val="none"/>
        </w:rPr>
        <w:t xml:space="preserve">号和 </w:t>
      </w:r>
      <w:r>
        <w:rPr>
          <w:rFonts w:ascii="Times New Roman" w:hAnsi="Times New Roman" w:cs="Times New Roman"/>
          <w:szCs w:val="28"/>
          <w:highlight w:val="none"/>
        </w:rPr>
        <w:t xml:space="preserve">1 </w:t>
      </w:r>
      <w:r>
        <w:rPr>
          <w:rFonts w:hint="eastAsia" w:ascii="Times New Roman" w:hAnsi="Times New Roman" w:cs="Times New Roman"/>
          <w:szCs w:val="28"/>
          <w:highlight w:val="none"/>
        </w:rPr>
        <w:t>号对面的螺栓为每次必检螺栓。对打过的螺栓涂防锈油处理并且做好一字标记。</w:t>
      </w:r>
      <w:r>
        <w:rPr>
          <w:rFonts w:ascii="Times New Roman" w:hAnsi="Times New Roman" w:cs="Times New Roman"/>
          <w:szCs w:val="28"/>
          <w:highlight w:val="none"/>
        </w:rPr>
        <w:t>Theo các bu lông neo tuabin gió 2,65MW</w:t>
      </w:r>
      <w:r>
        <w:rPr>
          <w:rFonts w:ascii="Times New Roman" w:hAnsi="Times New Roman" w:cs="Times New Roman"/>
          <w:szCs w:val="28"/>
          <w:highlight w:val="none"/>
          <w:lang w:val="vi-VN"/>
        </w:rPr>
        <w:t>-</w:t>
      </w:r>
      <w:r>
        <w:rPr>
          <w:rFonts w:ascii="Times New Roman" w:hAnsi="Times New Roman" w:cs="Times New Roman"/>
          <w:szCs w:val="28"/>
          <w:highlight w:val="none"/>
        </w:rPr>
        <w:t xml:space="preserve"> 36 bu lông neo (18 miếng ở mỗi vòng trong và ngoài) được kiểm tra ngẫu nhiên và lực kéo được kiểm tra là 590KN; đối với các bu lông neo tuabin gió 3,0MW, 40 bu lông neo (20 miếng ở mỗi vòng trong và ngoài) được kiểm tra ngẫu nhiên và lực kéo được kiểm tra là 612KN. Ngoài các bu lông kiểm tra ngẫu nhiên, các bu lông số 1 ở vòng trong, vòng ngoài và các bu lông đối diện với số 1 phải được kiểm tra </w:t>
      </w:r>
      <w:r>
        <w:rPr>
          <w:rFonts w:ascii="Times New Roman" w:hAnsi="Times New Roman" w:cs="Times New Roman"/>
          <w:szCs w:val="28"/>
          <w:highlight w:val="none"/>
          <w:lang w:val="vi-VN"/>
        </w:rPr>
        <w:t>mỗi lần kiểm tra bu lông</w:t>
      </w:r>
      <w:r>
        <w:rPr>
          <w:rFonts w:ascii="Times New Roman" w:hAnsi="Times New Roman" w:cs="Times New Roman"/>
          <w:szCs w:val="28"/>
          <w:highlight w:val="none"/>
        </w:rPr>
        <w:t xml:space="preserve">. Bôi dầu chống rỉ vào các bu lông đã </w:t>
      </w:r>
      <w:r>
        <w:rPr>
          <w:rFonts w:ascii="Times New Roman" w:hAnsi="Times New Roman" w:cs="Times New Roman"/>
          <w:szCs w:val="28"/>
          <w:highlight w:val="none"/>
          <w:lang w:val="vi-VN"/>
        </w:rPr>
        <w:t>kiểm tra</w:t>
      </w:r>
      <w:r>
        <w:rPr>
          <w:rFonts w:ascii="Times New Roman" w:hAnsi="Times New Roman" w:cs="Times New Roman"/>
          <w:szCs w:val="28"/>
          <w:highlight w:val="none"/>
        </w:rPr>
        <w:t xml:space="preserve"> và đánh dấu</w:t>
      </w:r>
      <w:r>
        <w:rPr>
          <w:rFonts w:ascii="Times New Roman" w:hAnsi="Times New Roman" w:cs="Times New Roman"/>
          <w:szCs w:val="28"/>
          <w:highlight w:val="none"/>
          <w:lang w:val="vi-VN"/>
        </w:rPr>
        <w:t xml:space="preserve"> bu lông</w:t>
      </w:r>
      <w:r>
        <w:rPr>
          <w:rFonts w:ascii="Times New Roman" w:hAnsi="Times New Roman" w:cs="Times New Roman"/>
          <w:szCs w:val="28"/>
          <w:highlight w:val="none"/>
        </w:rPr>
        <w:t>.</w:t>
      </w:r>
    </w:p>
    <w:p>
      <w:pPr>
        <w:spacing w:line="360" w:lineRule="auto"/>
        <w:ind w:firstLine="480" w:firstLineChars="200"/>
        <w:rPr>
          <w:rFonts w:ascii="Times New Roman" w:hAnsi="Times New Roman" w:cs="Times New Roman"/>
          <w:szCs w:val="28"/>
          <w:highlight w:val="none"/>
          <w:lang w:val="vi-VN"/>
        </w:rPr>
      </w:pPr>
      <w:r>
        <w:rPr>
          <w:rFonts w:hint="eastAsia" w:ascii="Times New Roman" w:hAnsi="Times New Roman" w:cs="Times New Roman"/>
          <w:szCs w:val="28"/>
          <w:highlight w:val="none"/>
        </w:rPr>
        <w:t>4.</w:t>
      </w:r>
      <w:r>
        <w:rPr>
          <w:rFonts w:ascii="Times New Roman" w:hAnsi="Times New Roman" w:cs="Times New Roman"/>
          <w:szCs w:val="28"/>
          <w:highlight w:val="none"/>
          <w:lang w:val="vi-VN"/>
        </w:rPr>
        <w:t xml:space="preserve"> </w:t>
      </w:r>
      <w:r>
        <w:rPr>
          <w:rFonts w:hint="eastAsia" w:ascii="Times New Roman" w:hAnsi="Times New Roman" w:cs="Times New Roman"/>
          <w:szCs w:val="28"/>
          <w:highlight w:val="none"/>
        </w:rPr>
        <w:t xml:space="preserve">若某个被抽检的锚栓螺母转动角度大于 </w:t>
      </w:r>
      <w:r>
        <w:rPr>
          <w:rFonts w:ascii="Times New Roman" w:hAnsi="Times New Roman" w:cs="Times New Roman"/>
          <w:szCs w:val="28"/>
          <w:highlight w:val="none"/>
        </w:rPr>
        <w:t xml:space="preserve">15 </w:t>
      </w:r>
      <w:r>
        <w:rPr>
          <w:rFonts w:hint="eastAsia" w:ascii="Times New Roman" w:hAnsi="Times New Roman" w:cs="Times New Roman"/>
          <w:szCs w:val="28"/>
          <w:highlight w:val="none"/>
        </w:rPr>
        <w:t xml:space="preserve">度， 则重新按设计拉力紧固（2.65MW风机设计拉力655KN；3.0MW风机设计拉力680KN；）该锚栓，并对其相邻的内外圈共 </w:t>
      </w:r>
      <w:r>
        <w:rPr>
          <w:rFonts w:ascii="Times New Roman" w:hAnsi="Times New Roman" w:cs="Times New Roman"/>
          <w:szCs w:val="28"/>
          <w:highlight w:val="none"/>
        </w:rPr>
        <w:t xml:space="preserve">5 </w:t>
      </w:r>
      <w:r>
        <w:rPr>
          <w:rFonts w:hint="eastAsia" w:ascii="Times New Roman" w:hAnsi="Times New Roman" w:cs="Times New Roman"/>
          <w:szCs w:val="28"/>
          <w:highlight w:val="none"/>
        </w:rPr>
        <w:t>颗锚栓进行拉伸力检查。</w:t>
      </w:r>
      <w:r>
        <w:rPr>
          <w:rFonts w:ascii="Times New Roman" w:hAnsi="Times New Roman" w:cs="Times New Roman"/>
          <w:szCs w:val="28"/>
          <w:highlight w:val="none"/>
        </w:rPr>
        <w:t xml:space="preserve">Nếu góc quay của đai ốc neo được kiểm tra ngẫu nhiên lớn hơn 15 độ, hãy siết chặt bu lông neo theo lực căng thiết kế (độ căng thiết kế của tua bin gió 2,65MW là 655KN; lực căng thiết kế của tua bin gió 3,0MW là 680KN) </w:t>
      </w:r>
      <w:r>
        <w:rPr>
          <w:rFonts w:ascii="Times New Roman" w:hAnsi="Times New Roman" w:cs="Times New Roman"/>
          <w:szCs w:val="28"/>
          <w:highlight w:val="none"/>
          <w:lang w:val="vi-VN"/>
        </w:rPr>
        <w:t>đồng thời</w:t>
      </w:r>
      <w:r>
        <w:rPr>
          <w:rFonts w:ascii="Times New Roman" w:hAnsi="Times New Roman" w:cs="Times New Roman"/>
          <w:szCs w:val="28"/>
          <w:highlight w:val="none"/>
        </w:rPr>
        <w:t xml:space="preserve"> siết chặt các vòng bên trong và bên ngoài liền kề</w:t>
      </w:r>
      <w:r>
        <w:rPr>
          <w:rFonts w:ascii="Times New Roman" w:hAnsi="Times New Roman" w:cs="Times New Roman"/>
          <w:szCs w:val="28"/>
          <w:highlight w:val="none"/>
          <w:lang w:val="vi-VN"/>
        </w:rPr>
        <w:t xml:space="preserve"> tổng cộng có 5 bu lông neo ở vòng trong và vòng ngoài liền kề được kiểm tra độ bền kéo.</w:t>
      </w:r>
    </w:p>
    <w:p>
      <w:pPr>
        <w:spacing w:line="360" w:lineRule="auto"/>
        <w:ind w:firstLine="480" w:firstLineChars="200"/>
        <w:rPr>
          <w:rFonts w:ascii="Times New Roman" w:hAnsi="Times New Roman" w:cs="Times New Roman"/>
          <w:szCs w:val="28"/>
          <w:highlight w:val="none"/>
        </w:rPr>
      </w:pPr>
      <w:r>
        <w:rPr>
          <w:rFonts w:hint="eastAsia" w:ascii="Times New Roman" w:hAnsi="Times New Roman" w:cs="Times New Roman"/>
          <w:szCs w:val="28"/>
          <w:highlight w:val="none"/>
        </w:rPr>
        <w:t>5. 锚栓拉伸前复测锚栓外露尺寸，扳手拧紧后再次复测锚栓露出锚板尺寸。</w:t>
      </w:r>
      <w:r>
        <w:rPr>
          <w:rFonts w:ascii="Times New Roman" w:hAnsi="Times New Roman" w:cs="Times New Roman"/>
          <w:szCs w:val="28"/>
          <w:highlight w:val="none"/>
        </w:rPr>
        <w:t>Đo lại kích thước lộ ra của bu lông neo trước khi kéo căng và đo lại kích thước lộ ra của tấm neo sau khi siết.</w:t>
      </w:r>
    </w:p>
    <w:p>
      <w:pPr>
        <w:pStyle w:val="3"/>
        <w:rPr>
          <w:rFonts w:ascii="Times New Roman" w:hAnsi="Times New Roman" w:cs="Times New Roman"/>
          <w:highlight w:val="none"/>
          <w:lang w:val="vi-VN"/>
        </w:rPr>
      </w:pPr>
      <w:r>
        <w:rPr>
          <w:rFonts w:hint="eastAsia" w:ascii="Times New Roman" w:hAnsi="Times New Roman" w:cs="Times New Roman"/>
          <w:highlight w:val="none"/>
        </w:rPr>
        <w:t>五</w:t>
      </w:r>
      <w:r>
        <w:rPr>
          <w:rFonts w:ascii="Times New Roman" w:hAnsi="Times New Roman" w:cs="Times New Roman"/>
          <w:highlight w:val="none"/>
        </w:rPr>
        <w:t>、</w:t>
      </w:r>
      <w:r>
        <w:rPr>
          <w:rFonts w:hint="eastAsia" w:ascii="Times New Roman" w:hAnsi="Times New Roman" w:cs="Times New Roman"/>
          <w:highlight w:val="none"/>
        </w:rPr>
        <w:t xml:space="preserve">其他要求 </w:t>
      </w:r>
      <w:r>
        <w:rPr>
          <w:rFonts w:ascii="Times New Roman" w:hAnsi="Times New Roman" w:cs="Times New Roman"/>
          <w:highlight w:val="none"/>
          <w:lang w:val="vi-VN"/>
        </w:rPr>
        <w:t>YÊU CẦU KHÁC</w:t>
      </w:r>
    </w:p>
    <w:p>
      <w:pPr>
        <w:spacing w:line="360" w:lineRule="auto"/>
        <w:ind w:firstLine="480" w:firstLineChars="200"/>
        <w:rPr>
          <w:rFonts w:ascii="Times New Roman" w:hAnsi="Times New Roman" w:cs="Times New Roman"/>
          <w:szCs w:val="28"/>
          <w:highlight w:val="none"/>
        </w:rPr>
      </w:pPr>
      <w:r>
        <w:rPr>
          <w:rFonts w:hint="eastAsia" w:ascii="Times New Roman" w:hAnsi="Times New Roman" w:cs="Times New Roman"/>
          <w:szCs w:val="28"/>
          <w:highlight w:val="none"/>
        </w:rPr>
        <w:t>1.乙方工作人员必须身体健康，胜任风机锚栓检测工作。</w:t>
      </w:r>
      <w:r>
        <w:rPr>
          <w:rFonts w:ascii="Times New Roman" w:hAnsi="Times New Roman" w:cs="Times New Roman"/>
          <w:szCs w:val="28"/>
          <w:highlight w:val="none"/>
        </w:rPr>
        <w:t xml:space="preserve">Nhân viên của </w:t>
      </w:r>
      <w:r>
        <w:rPr>
          <w:rFonts w:ascii="Times New Roman" w:hAnsi="Times New Roman" w:cs="Times New Roman"/>
          <w:szCs w:val="28"/>
          <w:highlight w:val="none"/>
          <w:lang w:val="vi-VN"/>
        </w:rPr>
        <w:t>b</w:t>
      </w:r>
      <w:r>
        <w:rPr>
          <w:rFonts w:ascii="Times New Roman" w:hAnsi="Times New Roman" w:cs="Times New Roman"/>
          <w:szCs w:val="28"/>
          <w:highlight w:val="none"/>
        </w:rPr>
        <w:t>ên B phải có sức khỏe tốt và đủ năng lực kiểm tra bu lông neo tuabin gió</w:t>
      </w:r>
    </w:p>
    <w:p>
      <w:pPr>
        <w:spacing w:line="360" w:lineRule="auto"/>
        <w:ind w:firstLine="480" w:firstLineChars="200"/>
        <w:rPr>
          <w:rFonts w:ascii="Times New Roman" w:hAnsi="Times New Roman" w:cs="Times New Roman"/>
          <w:szCs w:val="28"/>
          <w:highlight w:val="none"/>
        </w:rPr>
      </w:pPr>
      <w:r>
        <w:rPr>
          <w:rFonts w:hint="eastAsia" w:ascii="Times New Roman" w:hAnsi="Times New Roman" w:cs="Times New Roman"/>
          <w:szCs w:val="28"/>
          <w:highlight w:val="none"/>
        </w:rPr>
        <w:t>2.乙方使用的锚栓拉伸工器具需检验合格。</w:t>
      </w:r>
      <w:r>
        <w:rPr>
          <w:rFonts w:ascii="Times New Roman" w:hAnsi="Times New Roman" w:cs="Times New Roman"/>
          <w:szCs w:val="28"/>
          <w:highlight w:val="none"/>
        </w:rPr>
        <w:t xml:space="preserve">Dụng cụ căng bu lông neo do </w:t>
      </w:r>
      <w:r>
        <w:rPr>
          <w:rFonts w:ascii="Times New Roman" w:hAnsi="Times New Roman" w:cs="Times New Roman"/>
          <w:szCs w:val="28"/>
          <w:highlight w:val="none"/>
          <w:lang w:val="vi-VN"/>
        </w:rPr>
        <w:t>b</w:t>
      </w:r>
      <w:r>
        <w:rPr>
          <w:rFonts w:ascii="Times New Roman" w:hAnsi="Times New Roman" w:cs="Times New Roman"/>
          <w:szCs w:val="28"/>
          <w:highlight w:val="none"/>
        </w:rPr>
        <w:t>ên B sử dụng phải được kiểm định và đạt tiêu chuẩn.</w:t>
      </w:r>
    </w:p>
    <w:p>
      <w:pPr>
        <w:spacing w:line="360" w:lineRule="auto"/>
        <w:ind w:firstLine="480" w:firstLineChars="200"/>
        <w:rPr>
          <w:rFonts w:ascii="Times New Roman" w:hAnsi="Times New Roman" w:cs="Times New Roman"/>
          <w:szCs w:val="28"/>
          <w:highlight w:val="none"/>
          <w:lang w:val="vi-VN"/>
        </w:rPr>
      </w:pPr>
      <w:r>
        <w:rPr>
          <w:rFonts w:hint="eastAsia" w:ascii="Times New Roman" w:hAnsi="Times New Roman" w:cs="Times New Roman"/>
          <w:szCs w:val="28"/>
          <w:highlight w:val="none"/>
        </w:rPr>
        <w:t>3.乙方自进入现场工作开始，30天内完成所有风机锚栓检测工作。</w:t>
      </w:r>
      <w:r>
        <w:rPr>
          <w:rFonts w:ascii="Times New Roman" w:hAnsi="Times New Roman" w:cs="Times New Roman"/>
          <w:szCs w:val="28"/>
          <w:highlight w:val="none"/>
        </w:rPr>
        <w:t>Bên B phải hoàn thành tất cả các cuộc kiểm tra bu lông neo tuabin gió trong vòng 30 ngày kể từ khi tiến vào hiện trường bắt đầu công việc.</w:t>
      </w:r>
    </w:p>
    <w:p>
      <w:pPr>
        <w:pStyle w:val="2"/>
        <w:rPr>
          <w:highlight w:val="none"/>
        </w:rPr>
      </w:pPr>
    </w:p>
    <w:p>
      <w:pPr>
        <w:spacing w:line="360" w:lineRule="auto"/>
        <w:ind w:firstLine="480" w:firstLineChars="200"/>
        <w:rPr>
          <w:rFonts w:ascii="Times New Roman" w:hAnsi="Times New Roman" w:cs="Times New Roman"/>
          <w:szCs w:val="28"/>
          <w:highlight w:val="none"/>
        </w:rPr>
      </w:pPr>
    </w:p>
    <w:bookmarkEnd w:id="27"/>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274310" cy="279400"/>
              <wp:effectExtent l="0" t="0" r="0" b="0"/>
              <wp:wrapNone/>
              <wp:docPr id="4" name="Text Box 1026"/>
              <wp:cNvGraphicFramePr/>
              <a:graphic xmlns:a="http://schemas.openxmlformats.org/drawingml/2006/main">
                <a:graphicData uri="http://schemas.microsoft.com/office/word/2010/wordprocessingShape">
                  <wps:wsp>
                    <wps:cNvSpPr txBox="1">
                      <a:spLocks noChangeArrowheads="1"/>
                    </wps:cNvSpPr>
                    <wps:spPr bwMode="auto">
                      <a:xfrm>
                        <a:off x="0" y="0"/>
                        <a:ext cx="5274310" cy="279400"/>
                      </a:xfrm>
                      <a:prstGeom prst="rect">
                        <a:avLst/>
                      </a:prstGeom>
                      <a:noFill/>
                      <a:ln>
                        <a:noFill/>
                      </a:ln>
                    </wps:spPr>
                    <wps:txbx>
                      <w:txbxContent>
                        <w:p>
                          <w:pPr>
                            <w:pStyle w:val="11"/>
                          </w:pPr>
                          <w:r>
                            <w:rPr>
                              <w:rFonts w:ascii="Arial" w:hAnsi="Arial" w:eastAsia="Arial" w:cs="Arial"/>
                            </w:rPr>
                            <w:t xml:space="preserve">Page 8 of </w:t>
                          </w:r>
                          <w:r>
                            <w:rPr>
                              <w:rFonts w:hint="eastAsia" w:ascii="Arial" w:hAnsi="Arial" w:cs="Arial" w:eastAsiaTheme="minorEastAsia"/>
                            </w:rPr>
                            <w:t>24</w:t>
                          </w:r>
                          <w:r>
                            <w:rPr>
                              <w:rFonts w:ascii="Arial" w:hAnsi="Arial" w:eastAsia="Arial" w:cs="Arial"/>
                            </w:rPr>
                            <w:br w:type="textWrapping"/>
                          </w:r>
                          <w:r>
                            <w:rPr>
                              <w:rFonts w:hint="eastAsia"/>
                            </w:rPr>
                            <w:t xml:space="preserve">第 </w:t>
                          </w:r>
                          <w:r>
                            <w:fldChar w:fldCharType="begin"/>
                          </w:r>
                          <w:r>
                            <w:instrText xml:space="preserve"> PAGE  \* MERGEFORMAT </w:instrText>
                          </w:r>
                          <w:r>
                            <w:fldChar w:fldCharType="separate"/>
                          </w:r>
                          <w:r>
                            <w:t>3</w:t>
                          </w:r>
                          <w:r>
                            <w:fldChar w:fldCharType="end"/>
                          </w:r>
                          <w:r>
                            <w:rPr>
                              <w:rFonts w:hint="eastAsia"/>
                            </w:rPr>
                            <w:t xml:space="preserve"> 页 共 </w:t>
                          </w:r>
                          <w:r>
                            <w:fldChar w:fldCharType="begin"/>
                          </w:r>
                          <w:r>
                            <w:instrText xml:space="preserve"> NUMPAGES  \* MERGEFORMAT </w:instrText>
                          </w:r>
                          <w:r>
                            <w:fldChar w:fldCharType="separate"/>
                          </w:r>
                          <w:r>
                            <w:t>7</w:t>
                          </w:r>
                          <w:r>
                            <w:fldChar w:fldCharType="end"/>
                          </w:r>
                          <w:r>
                            <w:rPr>
                              <w:rFonts w:hint="eastAsia"/>
                            </w:rPr>
                            <w:t xml:space="preserve"> 页</w:t>
                          </w:r>
                        </w:p>
                      </w:txbxContent>
                    </wps:txbx>
                    <wps:bodyPr rot="0" vert="horz" wrap="none" lIns="0" tIns="0" rIns="0" bIns="0" anchor="t" anchorCtr="0" upright="1">
                      <a:spAutoFit/>
                    </wps:bodyPr>
                  </wps:wsp>
                </a:graphicData>
              </a:graphic>
            </wp:anchor>
          </w:drawing>
        </mc:Choice>
        <mc:Fallback>
          <w:pict>
            <v:shape id="Text Box 1026" o:spid="_x0000_s1026" o:spt="202" type="#_x0000_t202" style="position:absolute;left:0pt;margin-top:0pt;height:22pt;width:415.3pt;mso-position-horizontal:center;mso-position-horizontal-relative:margin;mso-wrap-style:none;z-index:251659264;mso-width-relative:page;mso-height-relative:page;" filled="f" stroked="f" coordsize="21600,21600" o:gfxdata="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dT3IdIAAAAEAQAADwAAAAAAAAABACAAAAAiAAAAZHJzL2Rvd25yZXYueG1s&#10;UEsBAhQAFAAAAAgAh07iQNHv3HT+AQAABQQAAA4AAAAAAAAAAQAgAAAAIQEAAGRycy9lMm9Eb2Mu&#10;eG1sUEsFBgAAAAAGAAYAWQEAAJEFAAAAAA==&#10;">
              <v:fill on="f" focussize="0,0"/>
              <v:stroke on="f"/>
              <v:imagedata o:title=""/>
              <o:lock v:ext="edit" aspectratio="f"/>
              <v:textbox inset="0mm,0mm,0mm,0mm" style="mso-fit-shape-to-text:t;">
                <w:txbxContent>
                  <w:p>
                    <w:pPr>
                      <w:pStyle w:val="11"/>
                    </w:pPr>
                    <w:r>
                      <w:rPr>
                        <w:rFonts w:ascii="Arial" w:hAnsi="Arial" w:eastAsia="Arial" w:cs="Arial"/>
                      </w:rPr>
                      <w:t xml:space="preserve">Page 8 of </w:t>
                    </w:r>
                    <w:r>
                      <w:rPr>
                        <w:rFonts w:hint="eastAsia" w:ascii="Arial" w:hAnsi="Arial" w:cs="Arial" w:eastAsiaTheme="minorEastAsia"/>
                      </w:rPr>
                      <w:t>24</w:t>
                    </w:r>
                    <w:r>
                      <w:rPr>
                        <w:rFonts w:ascii="Arial" w:hAnsi="Arial" w:eastAsia="Arial" w:cs="Arial"/>
                      </w:rPr>
                      <w:br w:type="textWrapping"/>
                    </w:r>
                    <w:r>
                      <w:rPr>
                        <w:rFonts w:hint="eastAsia"/>
                      </w:rPr>
                      <w:t xml:space="preserve">第 </w:t>
                    </w:r>
                    <w:r>
                      <w:fldChar w:fldCharType="begin"/>
                    </w:r>
                    <w:r>
                      <w:instrText xml:space="preserve"> PAGE  \* MERGEFORMAT </w:instrText>
                    </w:r>
                    <w:r>
                      <w:fldChar w:fldCharType="separate"/>
                    </w:r>
                    <w:r>
                      <w:t>3</w:t>
                    </w:r>
                    <w:r>
                      <w:fldChar w:fldCharType="end"/>
                    </w:r>
                    <w:r>
                      <w:rPr>
                        <w:rFonts w:hint="eastAsia"/>
                      </w:rPr>
                      <w:t xml:space="preserve"> 页 共 </w:t>
                    </w:r>
                    <w:r>
                      <w:fldChar w:fldCharType="begin"/>
                    </w:r>
                    <w:r>
                      <w:instrText xml:space="preserve"> NUMPAGES  \* MERGEFORMAT </w:instrText>
                    </w:r>
                    <w:r>
                      <w:fldChar w:fldCharType="separate"/>
                    </w:r>
                    <w:r>
                      <w:t>7</w:t>
                    </w:r>
                    <w: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documentProtection w:enforcement="0"/>
  <w:defaultTabStop w:val="420"/>
  <w:drawingGridVerticalSpacing w:val="16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NDU4OWJjZGIzYjY4MTUxZGY2ZjExZTMxZWFiNjYifQ=="/>
    <w:docVar w:name="KSO_WPS_MARK_KEY" w:val="3122aeba-a50d-4adf-8e63-16ee78c7f87e"/>
  </w:docVars>
  <w:rsids>
    <w:rsidRoot w:val="387272BC"/>
    <w:rsid w:val="000154F0"/>
    <w:rsid w:val="00024A8B"/>
    <w:rsid w:val="00033D1D"/>
    <w:rsid w:val="00035DE0"/>
    <w:rsid w:val="00055F5A"/>
    <w:rsid w:val="0005714E"/>
    <w:rsid w:val="00066291"/>
    <w:rsid w:val="00070119"/>
    <w:rsid w:val="00094241"/>
    <w:rsid w:val="000A6F18"/>
    <w:rsid w:val="000B6931"/>
    <w:rsid w:val="000C5BEF"/>
    <w:rsid w:val="000D01E9"/>
    <w:rsid w:val="000D2AA4"/>
    <w:rsid w:val="000E48E4"/>
    <w:rsid w:val="000E79C4"/>
    <w:rsid w:val="000F7D30"/>
    <w:rsid w:val="00171ED3"/>
    <w:rsid w:val="00172397"/>
    <w:rsid w:val="001879EB"/>
    <w:rsid w:val="001970F0"/>
    <w:rsid w:val="001A082C"/>
    <w:rsid w:val="001A549A"/>
    <w:rsid w:val="001B3919"/>
    <w:rsid w:val="001D1F5E"/>
    <w:rsid w:val="001D3C48"/>
    <w:rsid w:val="001F5C08"/>
    <w:rsid w:val="0020022E"/>
    <w:rsid w:val="00203926"/>
    <w:rsid w:val="00205290"/>
    <w:rsid w:val="00227081"/>
    <w:rsid w:val="0025213E"/>
    <w:rsid w:val="0025662C"/>
    <w:rsid w:val="0029179C"/>
    <w:rsid w:val="00292087"/>
    <w:rsid w:val="002C2C00"/>
    <w:rsid w:val="002C67E7"/>
    <w:rsid w:val="002D3038"/>
    <w:rsid w:val="002E663C"/>
    <w:rsid w:val="002E7373"/>
    <w:rsid w:val="00332638"/>
    <w:rsid w:val="00335878"/>
    <w:rsid w:val="00341BF3"/>
    <w:rsid w:val="00343469"/>
    <w:rsid w:val="00364D2D"/>
    <w:rsid w:val="0038045B"/>
    <w:rsid w:val="00380E15"/>
    <w:rsid w:val="00386A70"/>
    <w:rsid w:val="0039129C"/>
    <w:rsid w:val="003961D3"/>
    <w:rsid w:val="003A5836"/>
    <w:rsid w:val="003B100F"/>
    <w:rsid w:val="003B3598"/>
    <w:rsid w:val="003B3BC9"/>
    <w:rsid w:val="003B49A6"/>
    <w:rsid w:val="003D75A5"/>
    <w:rsid w:val="003E54F2"/>
    <w:rsid w:val="003E7AEB"/>
    <w:rsid w:val="003F0409"/>
    <w:rsid w:val="003F0706"/>
    <w:rsid w:val="00403DD8"/>
    <w:rsid w:val="00404459"/>
    <w:rsid w:val="004051B7"/>
    <w:rsid w:val="00407FDC"/>
    <w:rsid w:val="004132F7"/>
    <w:rsid w:val="00414551"/>
    <w:rsid w:val="00424C3B"/>
    <w:rsid w:val="00435E57"/>
    <w:rsid w:val="00447CE3"/>
    <w:rsid w:val="00453953"/>
    <w:rsid w:val="0047073D"/>
    <w:rsid w:val="004710D8"/>
    <w:rsid w:val="00473F58"/>
    <w:rsid w:val="00475C46"/>
    <w:rsid w:val="0048147E"/>
    <w:rsid w:val="004869AA"/>
    <w:rsid w:val="00486D83"/>
    <w:rsid w:val="004941F5"/>
    <w:rsid w:val="004A64A3"/>
    <w:rsid w:val="004C3215"/>
    <w:rsid w:val="004C5ED7"/>
    <w:rsid w:val="004D6A50"/>
    <w:rsid w:val="004E5457"/>
    <w:rsid w:val="004E6C56"/>
    <w:rsid w:val="004F4395"/>
    <w:rsid w:val="00506F02"/>
    <w:rsid w:val="00512AB5"/>
    <w:rsid w:val="005274F9"/>
    <w:rsid w:val="00541199"/>
    <w:rsid w:val="00551B13"/>
    <w:rsid w:val="00572543"/>
    <w:rsid w:val="005B5890"/>
    <w:rsid w:val="005C05E4"/>
    <w:rsid w:val="005C3C77"/>
    <w:rsid w:val="005C78DA"/>
    <w:rsid w:val="005D6CB3"/>
    <w:rsid w:val="005E32EA"/>
    <w:rsid w:val="005E55EB"/>
    <w:rsid w:val="005F4A76"/>
    <w:rsid w:val="005F725B"/>
    <w:rsid w:val="0060361E"/>
    <w:rsid w:val="00610820"/>
    <w:rsid w:val="00621E1C"/>
    <w:rsid w:val="0062381D"/>
    <w:rsid w:val="00626B43"/>
    <w:rsid w:val="00633950"/>
    <w:rsid w:val="00645246"/>
    <w:rsid w:val="00646CC5"/>
    <w:rsid w:val="00647BC1"/>
    <w:rsid w:val="0065396F"/>
    <w:rsid w:val="0065693F"/>
    <w:rsid w:val="00657314"/>
    <w:rsid w:val="00663C60"/>
    <w:rsid w:val="006641EA"/>
    <w:rsid w:val="006732C7"/>
    <w:rsid w:val="0069291E"/>
    <w:rsid w:val="00693E77"/>
    <w:rsid w:val="006C04A6"/>
    <w:rsid w:val="006C5066"/>
    <w:rsid w:val="006C5105"/>
    <w:rsid w:val="006C69AB"/>
    <w:rsid w:val="006D79C3"/>
    <w:rsid w:val="006E6341"/>
    <w:rsid w:val="006F05E3"/>
    <w:rsid w:val="006F3945"/>
    <w:rsid w:val="00703DE1"/>
    <w:rsid w:val="0072302A"/>
    <w:rsid w:val="00723EE1"/>
    <w:rsid w:val="0073187B"/>
    <w:rsid w:val="00745573"/>
    <w:rsid w:val="00756E20"/>
    <w:rsid w:val="00786F0C"/>
    <w:rsid w:val="00794E4A"/>
    <w:rsid w:val="007A588C"/>
    <w:rsid w:val="007C3A89"/>
    <w:rsid w:val="007D2178"/>
    <w:rsid w:val="007D62A2"/>
    <w:rsid w:val="007E71E9"/>
    <w:rsid w:val="00802B50"/>
    <w:rsid w:val="00810E30"/>
    <w:rsid w:val="008224D0"/>
    <w:rsid w:val="008265A2"/>
    <w:rsid w:val="00826EF1"/>
    <w:rsid w:val="00837734"/>
    <w:rsid w:val="008378B8"/>
    <w:rsid w:val="00840BF0"/>
    <w:rsid w:val="00854367"/>
    <w:rsid w:val="00854861"/>
    <w:rsid w:val="008632F8"/>
    <w:rsid w:val="008767BC"/>
    <w:rsid w:val="00883C29"/>
    <w:rsid w:val="008A4C22"/>
    <w:rsid w:val="008A75CA"/>
    <w:rsid w:val="008B11BA"/>
    <w:rsid w:val="008D1ECC"/>
    <w:rsid w:val="008D391F"/>
    <w:rsid w:val="008D494A"/>
    <w:rsid w:val="008D598F"/>
    <w:rsid w:val="008E6257"/>
    <w:rsid w:val="008F0D5E"/>
    <w:rsid w:val="008F58D7"/>
    <w:rsid w:val="00900FB3"/>
    <w:rsid w:val="00907397"/>
    <w:rsid w:val="00913952"/>
    <w:rsid w:val="009257A8"/>
    <w:rsid w:val="00934520"/>
    <w:rsid w:val="00935964"/>
    <w:rsid w:val="00943F3B"/>
    <w:rsid w:val="00946864"/>
    <w:rsid w:val="00946AE8"/>
    <w:rsid w:val="00947D2B"/>
    <w:rsid w:val="00955366"/>
    <w:rsid w:val="009562FF"/>
    <w:rsid w:val="00994EAB"/>
    <w:rsid w:val="009B13D2"/>
    <w:rsid w:val="009C09D8"/>
    <w:rsid w:val="009C5D23"/>
    <w:rsid w:val="009D27E3"/>
    <w:rsid w:val="009F5BF3"/>
    <w:rsid w:val="00A1371A"/>
    <w:rsid w:val="00A13C6E"/>
    <w:rsid w:val="00A20F01"/>
    <w:rsid w:val="00A25B99"/>
    <w:rsid w:val="00A37681"/>
    <w:rsid w:val="00A41BF8"/>
    <w:rsid w:val="00A73702"/>
    <w:rsid w:val="00A85E30"/>
    <w:rsid w:val="00A913E4"/>
    <w:rsid w:val="00A95F43"/>
    <w:rsid w:val="00AA187C"/>
    <w:rsid w:val="00AC6BBE"/>
    <w:rsid w:val="00AD6D7B"/>
    <w:rsid w:val="00AF57B1"/>
    <w:rsid w:val="00B15421"/>
    <w:rsid w:val="00B16E69"/>
    <w:rsid w:val="00B179AD"/>
    <w:rsid w:val="00B20A0A"/>
    <w:rsid w:val="00B27233"/>
    <w:rsid w:val="00B27940"/>
    <w:rsid w:val="00B40345"/>
    <w:rsid w:val="00B74BCE"/>
    <w:rsid w:val="00B757BD"/>
    <w:rsid w:val="00B80B6D"/>
    <w:rsid w:val="00B84686"/>
    <w:rsid w:val="00B940D1"/>
    <w:rsid w:val="00B9482B"/>
    <w:rsid w:val="00B94EBA"/>
    <w:rsid w:val="00BA177B"/>
    <w:rsid w:val="00BB2096"/>
    <w:rsid w:val="00BD31D9"/>
    <w:rsid w:val="00BD678F"/>
    <w:rsid w:val="00BE2220"/>
    <w:rsid w:val="00BF151E"/>
    <w:rsid w:val="00C0567C"/>
    <w:rsid w:val="00C10867"/>
    <w:rsid w:val="00C11488"/>
    <w:rsid w:val="00C1161C"/>
    <w:rsid w:val="00C14821"/>
    <w:rsid w:val="00C24AAB"/>
    <w:rsid w:val="00C34566"/>
    <w:rsid w:val="00C43A0D"/>
    <w:rsid w:val="00C52895"/>
    <w:rsid w:val="00C6728A"/>
    <w:rsid w:val="00C678A7"/>
    <w:rsid w:val="00C80536"/>
    <w:rsid w:val="00C80681"/>
    <w:rsid w:val="00CA4564"/>
    <w:rsid w:val="00CB3C88"/>
    <w:rsid w:val="00CB5D8F"/>
    <w:rsid w:val="00CC53CE"/>
    <w:rsid w:val="00CD16EF"/>
    <w:rsid w:val="00CD2BBA"/>
    <w:rsid w:val="00CD6DC8"/>
    <w:rsid w:val="00CF6423"/>
    <w:rsid w:val="00D10B5F"/>
    <w:rsid w:val="00D17789"/>
    <w:rsid w:val="00D20A2B"/>
    <w:rsid w:val="00D3549D"/>
    <w:rsid w:val="00D734BE"/>
    <w:rsid w:val="00D76776"/>
    <w:rsid w:val="00D90509"/>
    <w:rsid w:val="00DA75A5"/>
    <w:rsid w:val="00DB6DD1"/>
    <w:rsid w:val="00DC51CF"/>
    <w:rsid w:val="00E324A2"/>
    <w:rsid w:val="00E368DB"/>
    <w:rsid w:val="00E45B98"/>
    <w:rsid w:val="00E469B0"/>
    <w:rsid w:val="00E50918"/>
    <w:rsid w:val="00E6114F"/>
    <w:rsid w:val="00E70C23"/>
    <w:rsid w:val="00E74562"/>
    <w:rsid w:val="00E93131"/>
    <w:rsid w:val="00EA606E"/>
    <w:rsid w:val="00EB50C1"/>
    <w:rsid w:val="00EB73D2"/>
    <w:rsid w:val="00EB7E20"/>
    <w:rsid w:val="00EC100A"/>
    <w:rsid w:val="00EC616F"/>
    <w:rsid w:val="00EC7850"/>
    <w:rsid w:val="00F111DA"/>
    <w:rsid w:val="00F1236F"/>
    <w:rsid w:val="00F2413C"/>
    <w:rsid w:val="00F243D4"/>
    <w:rsid w:val="00F31604"/>
    <w:rsid w:val="00F31F18"/>
    <w:rsid w:val="00F37C1F"/>
    <w:rsid w:val="00F42E93"/>
    <w:rsid w:val="00F50D5F"/>
    <w:rsid w:val="00F560EA"/>
    <w:rsid w:val="00F6181F"/>
    <w:rsid w:val="00F67347"/>
    <w:rsid w:val="00F67514"/>
    <w:rsid w:val="00F73AC8"/>
    <w:rsid w:val="00F73CA5"/>
    <w:rsid w:val="00F764C8"/>
    <w:rsid w:val="00F85E2E"/>
    <w:rsid w:val="00F87590"/>
    <w:rsid w:val="00F950A1"/>
    <w:rsid w:val="00FA7E6A"/>
    <w:rsid w:val="00FB4D17"/>
    <w:rsid w:val="00FB77FD"/>
    <w:rsid w:val="00FC0C4D"/>
    <w:rsid w:val="00FC40D3"/>
    <w:rsid w:val="00FC438C"/>
    <w:rsid w:val="00FC6DFC"/>
    <w:rsid w:val="00FD4623"/>
    <w:rsid w:val="00FD5476"/>
    <w:rsid w:val="00FF1EE2"/>
    <w:rsid w:val="01693F5A"/>
    <w:rsid w:val="0193616B"/>
    <w:rsid w:val="02375027"/>
    <w:rsid w:val="025466FA"/>
    <w:rsid w:val="02826B39"/>
    <w:rsid w:val="02CC0CE1"/>
    <w:rsid w:val="047E13CF"/>
    <w:rsid w:val="048123C8"/>
    <w:rsid w:val="04B85E33"/>
    <w:rsid w:val="053F64CF"/>
    <w:rsid w:val="075127D2"/>
    <w:rsid w:val="08967E50"/>
    <w:rsid w:val="08C42B11"/>
    <w:rsid w:val="093A6008"/>
    <w:rsid w:val="09C0604A"/>
    <w:rsid w:val="0B32466D"/>
    <w:rsid w:val="0D3D2E05"/>
    <w:rsid w:val="0D9B1292"/>
    <w:rsid w:val="0DDE4765"/>
    <w:rsid w:val="0DEA1BCB"/>
    <w:rsid w:val="10F04DEB"/>
    <w:rsid w:val="11F00843"/>
    <w:rsid w:val="129B77D6"/>
    <w:rsid w:val="136F314B"/>
    <w:rsid w:val="13900B81"/>
    <w:rsid w:val="13C039DF"/>
    <w:rsid w:val="14DD00E6"/>
    <w:rsid w:val="153B1A5D"/>
    <w:rsid w:val="15C2342E"/>
    <w:rsid w:val="162B628F"/>
    <w:rsid w:val="178C3CF3"/>
    <w:rsid w:val="194F45F4"/>
    <w:rsid w:val="1E1F0798"/>
    <w:rsid w:val="1E4A2415"/>
    <w:rsid w:val="1E4D02EB"/>
    <w:rsid w:val="1E98040E"/>
    <w:rsid w:val="1EAC4983"/>
    <w:rsid w:val="1EE50C5C"/>
    <w:rsid w:val="1EF87EC0"/>
    <w:rsid w:val="1F0D16DF"/>
    <w:rsid w:val="209D65D0"/>
    <w:rsid w:val="21815F4B"/>
    <w:rsid w:val="219D1DA0"/>
    <w:rsid w:val="22267867"/>
    <w:rsid w:val="23025190"/>
    <w:rsid w:val="2309242C"/>
    <w:rsid w:val="23431395"/>
    <w:rsid w:val="23850CDA"/>
    <w:rsid w:val="23B67943"/>
    <w:rsid w:val="23F944BF"/>
    <w:rsid w:val="247A1C86"/>
    <w:rsid w:val="247C1E98"/>
    <w:rsid w:val="24A51F50"/>
    <w:rsid w:val="25003783"/>
    <w:rsid w:val="260E630D"/>
    <w:rsid w:val="261E4DD2"/>
    <w:rsid w:val="26247A03"/>
    <w:rsid w:val="27532449"/>
    <w:rsid w:val="278678C4"/>
    <w:rsid w:val="278F567F"/>
    <w:rsid w:val="27E3180F"/>
    <w:rsid w:val="281A3657"/>
    <w:rsid w:val="291B0AFC"/>
    <w:rsid w:val="29E16592"/>
    <w:rsid w:val="29E90B3C"/>
    <w:rsid w:val="2A0E3645"/>
    <w:rsid w:val="2A2236C3"/>
    <w:rsid w:val="2AEA0D60"/>
    <w:rsid w:val="2B112618"/>
    <w:rsid w:val="2BAD7E8C"/>
    <w:rsid w:val="2C2E11C3"/>
    <w:rsid w:val="2C601DAF"/>
    <w:rsid w:val="2DD25A45"/>
    <w:rsid w:val="2E035367"/>
    <w:rsid w:val="2EA31C86"/>
    <w:rsid w:val="2EE93382"/>
    <w:rsid w:val="30EB5398"/>
    <w:rsid w:val="328269D8"/>
    <w:rsid w:val="3288210F"/>
    <w:rsid w:val="32B73AA4"/>
    <w:rsid w:val="33352DF1"/>
    <w:rsid w:val="35E70442"/>
    <w:rsid w:val="36FE7124"/>
    <w:rsid w:val="379027EF"/>
    <w:rsid w:val="38430EF5"/>
    <w:rsid w:val="387272BC"/>
    <w:rsid w:val="38EF6326"/>
    <w:rsid w:val="39982615"/>
    <w:rsid w:val="39F47124"/>
    <w:rsid w:val="3A2F460E"/>
    <w:rsid w:val="3A3D096D"/>
    <w:rsid w:val="3AA346A3"/>
    <w:rsid w:val="3C152505"/>
    <w:rsid w:val="3D3B5257"/>
    <w:rsid w:val="3DA06550"/>
    <w:rsid w:val="3E6F5287"/>
    <w:rsid w:val="3E773155"/>
    <w:rsid w:val="3F1336AD"/>
    <w:rsid w:val="3F21004E"/>
    <w:rsid w:val="3FB53F69"/>
    <w:rsid w:val="3FEB0DB3"/>
    <w:rsid w:val="40E84C44"/>
    <w:rsid w:val="40EC5B64"/>
    <w:rsid w:val="40F41772"/>
    <w:rsid w:val="41E93F72"/>
    <w:rsid w:val="42705E2F"/>
    <w:rsid w:val="436D216C"/>
    <w:rsid w:val="443D1E0E"/>
    <w:rsid w:val="449E6A86"/>
    <w:rsid w:val="44E25187"/>
    <w:rsid w:val="454836A2"/>
    <w:rsid w:val="47794F72"/>
    <w:rsid w:val="47CF7F59"/>
    <w:rsid w:val="47FC6F09"/>
    <w:rsid w:val="485C1E3E"/>
    <w:rsid w:val="48D12F1B"/>
    <w:rsid w:val="48E101CA"/>
    <w:rsid w:val="49F843FB"/>
    <w:rsid w:val="4A6F2D30"/>
    <w:rsid w:val="4B1E5119"/>
    <w:rsid w:val="4B7A2C73"/>
    <w:rsid w:val="4B9278E6"/>
    <w:rsid w:val="4BAF7896"/>
    <w:rsid w:val="4D381B01"/>
    <w:rsid w:val="4DCE1F5A"/>
    <w:rsid w:val="4F425100"/>
    <w:rsid w:val="4FB118B6"/>
    <w:rsid w:val="50216285"/>
    <w:rsid w:val="503F42FE"/>
    <w:rsid w:val="50F55FFE"/>
    <w:rsid w:val="512514F9"/>
    <w:rsid w:val="518505EC"/>
    <w:rsid w:val="51BC0756"/>
    <w:rsid w:val="52285FAD"/>
    <w:rsid w:val="526B7738"/>
    <w:rsid w:val="5287608C"/>
    <w:rsid w:val="539A63B9"/>
    <w:rsid w:val="53CC739A"/>
    <w:rsid w:val="53EC5731"/>
    <w:rsid w:val="56526467"/>
    <w:rsid w:val="56E96FD4"/>
    <w:rsid w:val="5708328C"/>
    <w:rsid w:val="57532BC9"/>
    <w:rsid w:val="57DF4662"/>
    <w:rsid w:val="598F3B53"/>
    <w:rsid w:val="59D04F5E"/>
    <w:rsid w:val="59E8282A"/>
    <w:rsid w:val="5A476F21"/>
    <w:rsid w:val="5A5036F2"/>
    <w:rsid w:val="5AD37B96"/>
    <w:rsid w:val="5AF6119B"/>
    <w:rsid w:val="5B3900DC"/>
    <w:rsid w:val="5BB550AA"/>
    <w:rsid w:val="5CE740D4"/>
    <w:rsid w:val="5D8B3540"/>
    <w:rsid w:val="5DBA0F9F"/>
    <w:rsid w:val="5DEF6896"/>
    <w:rsid w:val="5F0A1AAC"/>
    <w:rsid w:val="5F2317D9"/>
    <w:rsid w:val="5F681F1D"/>
    <w:rsid w:val="5FDE3536"/>
    <w:rsid w:val="5FE25C2B"/>
    <w:rsid w:val="603C522D"/>
    <w:rsid w:val="606271A9"/>
    <w:rsid w:val="61153112"/>
    <w:rsid w:val="61596CAE"/>
    <w:rsid w:val="61872C39"/>
    <w:rsid w:val="618C796D"/>
    <w:rsid w:val="620D4F25"/>
    <w:rsid w:val="620D71A2"/>
    <w:rsid w:val="62E91036"/>
    <w:rsid w:val="636B1FDC"/>
    <w:rsid w:val="642C44ED"/>
    <w:rsid w:val="643F6BDA"/>
    <w:rsid w:val="64AF0DC1"/>
    <w:rsid w:val="64F06C5D"/>
    <w:rsid w:val="652D2D9A"/>
    <w:rsid w:val="654228F2"/>
    <w:rsid w:val="65A4307F"/>
    <w:rsid w:val="65BF6CB4"/>
    <w:rsid w:val="65C01C6F"/>
    <w:rsid w:val="65EC645D"/>
    <w:rsid w:val="665A153F"/>
    <w:rsid w:val="668D300C"/>
    <w:rsid w:val="68681609"/>
    <w:rsid w:val="68F51205"/>
    <w:rsid w:val="6A2127DB"/>
    <w:rsid w:val="6D6B28ED"/>
    <w:rsid w:val="6D8711CF"/>
    <w:rsid w:val="6E3B3453"/>
    <w:rsid w:val="6E935CE3"/>
    <w:rsid w:val="72520576"/>
    <w:rsid w:val="72601C42"/>
    <w:rsid w:val="72652A26"/>
    <w:rsid w:val="72AD7283"/>
    <w:rsid w:val="73982765"/>
    <w:rsid w:val="745F2C4E"/>
    <w:rsid w:val="749B5EB8"/>
    <w:rsid w:val="75227FA8"/>
    <w:rsid w:val="75DB4C07"/>
    <w:rsid w:val="75F71713"/>
    <w:rsid w:val="78181322"/>
    <w:rsid w:val="784D4EBA"/>
    <w:rsid w:val="79782AA4"/>
    <w:rsid w:val="798259FC"/>
    <w:rsid w:val="79974DFF"/>
    <w:rsid w:val="7A7733EB"/>
    <w:rsid w:val="7B211F52"/>
    <w:rsid w:val="7B322DF0"/>
    <w:rsid w:val="7C3A576C"/>
    <w:rsid w:val="7C612F86"/>
    <w:rsid w:val="7CBA3685"/>
    <w:rsid w:val="7D9A66CF"/>
    <w:rsid w:val="7E12157A"/>
    <w:rsid w:val="7E231DC1"/>
    <w:rsid w:val="7E47785A"/>
    <w:rsid w:val="7EA41CC4"/>
    <w:rsid w:val="7EE23FDB"/>
    <w:rsid w:val="7F133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heme="minorBidi"/>
      <w:kern w:val="2"/>
      <w:sz w:val="24"/>
      <w:szCs w:val="22"/>
      <w:lang w:val="en-US" w:eastAsia="zh-CN" w:bidi="ar-SA"/>
    </w:rPr>
  </w:style>
  <w:style w:type="paragraph" w:styleId="3">
    <w:name w:val="heading 1"/>
    <w:basedOn w:val="1"/>
    <w:next w:val="1"/>
    <w:link w:val="22"/>
    <w:qFormat/>
    <w:uiPriority w:val="0"/>
    <w:pPr>
      <w:keepNext/>
      <w:keepLines/>
      <w:spacing w:line="576" w:lineRule="auto"/>
      <w:outlineLvl w:val="0"/>
    </w:pPr>
    <w:rPr>
      <w:b/>
      <w:kern w:val="44"/>
      <w:sz w:val="28"/>
    </w:rPr>
  </w:style>
  <w:style w:type="paragraph" w:styleId="2">
    <w:name w:val="heading 2"/>
    <w:basedOn w:val="1"/>
    <w:next w:val="1"/>
    <w:unhideWhenUsed/>
    <w:qFormat/>
    <w:uiPriority w:val="0"/>
    <w:pPr>
      <w:keepNext/>
      <w:keepLines/>
      <w:spacing w:line="413" w:lineRule="auto"/>
      <w:outlineLvl w:val="1"/>
    </w:pPr>
    <w:rPr>
      <w:rFonts w:ascii="Arial" w:hAnsi="Arial" w:cs="Times New Roman"/>
      <w:b/>
      <w:kern w:val="0"/>
      <w:sz w:val="30"/>
      <w:szCs w:val="20"/>
    </w:rPr>
  </w:style>
  <w:style w:type="paragraph" w:styleId="4">
    <w:name w:val="heading 3"/>
    <w:basedOn w:val="1"/>
    <w:next w:val="1"/>
    <w:unhideWhenUsed/>
    <w:qFormat/>
    <w:uiPriority w:val="0"/>
    <w:pPr>
      <w:keepNext/>
      <w:keepLines/>
      <w:spacing w:line="413" w:lineRule="auto"/>
      <w:outlineLvl w:val="2"/>
    </w:pPr>
    <w:rPr>
      <w:b/>
      <w:sz w:val="32"/>
      <w:szCs w:val="20"/>
    </w:rPr>
  </w:style>
  <w:style w:type="paragraph" w:styleId="5">
    <w:name w:val="heading 4"/>
    <w:basedOn w:val="1"/>
    <w:next w:val="1"/>
    <w:link w:val="42"/>
    <w:semiHidden/>
    <w:unhideWhenUsed/>
    <w:qFormat/>
    <w:uiPriority w:val="0"/>
    <w:pPr>
      <w:keepNext/>
      <w:keepLines/>
      <w:spacing w:before="40"/>
      <w:outlineLvl w:val="3"/>
    </w:pPr>
    <w:rPr>
      <w:rFonts w:asciiTheme="majorHAnsi" w:hAnsiTheme="majorHAnsi" w:eastAsiaTheme="majorEastAsia" w:cstheme="majorBidi"/>
      <w:i/>
      <w:iCs/>
      <w:color w:val="2E75B6" w:themeColor="accent1" w:themeShade="BF"/>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Normal Indent"/>
    <w:basedOn w:val="1"/>
    <w:next w:val="7"/>
    <w:qFormat/>
    <w:uiPriority w:val="0"/>
    <w:pPr>
      <w:widowControl/>
      <w:adjustRightInd w:val="0"/>
      <w:spacing w:line="400" w:lineRule="exact"/>
      <w:ind w:firstLine="420"/>
    </w:pPr>
    <w:rPr>
      <w:rFonts w:cs="Times New Roman"/>
      <w:sz w:val="28"/>
      <w:szCs w:val="20"/>
      <w:lang w:val="zh-CN" w:bidi="en-US"/>
    </w:rPr>
  </w:style>
  <w:style w:type="paragraph" w:styleId="7">
    <w:name w:val="Plain Text"/>
    <w:basedOn w:val="1"/>
    <w:qFormat/>
    <w:uiPriority w:val="0"/>
    <w:rPr>
      <w:rFonts w:ascii="宋体" w:hAnsi="Courier New"/>
      <w:sz w:val="13"/>
    </w:rPr>
  </w:style>
  <w:style w:type="paragraph" w:styleId="8">
    <w:name w:val="annotation text"/>
    <w:basedOn w:val="1"/>
    <w:link w:val="36"/>
    <w:qFormat/>
    <w:uiPriority w:val="0"/>
    <w:pPr>
      <w:jc w:val="left"/>
    </w:pPr>
  </w:style>
  <w:style w:type="paragraph" w:styleId="9">
    <w:name w:val="Body Text"/>
    <w:basedOn w:val="1"/>
    <w:qFormat/>
    <w:uiPriority w:val="0"/>
  </w:style>
  <w:style w:type="paragraph" w:styleId="10">
    <w:name w:val="Balloon Text"/>
    <w:basedOn w:val="1"/>
    <w:link w:val="27"/>
    <w:qFormat/>
    <w:uiPriority w:val="0"/>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toc 2"/>
    <w:basedOn w:val="1"/>
    <w:next w:val="1"/>
    <w:qFormat/>
    <w:uiPriority w:val="0"/>
    <w:pPr>
      <w:ind w:left="420" w:leftChars="200"/>
    </w:pPr>
    <w:rPr>
      <w:rFonts w:ascii="宋体" w:hAnsi="宋体" w:cs="宋体"/>
      <w:sz w:val="30"/>
    </w:rPr>
  </w:style>
  <w:style w:type="paragraph" w:styleId="15">
    <w:name w:val="annotation subject"/>
    <w:basedOn w:val="8"/>
    <w:next w:val="8"/>
    <w:link w:val="37"/>
    <w:qFormat/>
    <w:uiPriority w:val="0"/>
    <w:rPr>
      <w:b/>
      <w:bCs/>
    </w:rPr>
  </w:style>
  <w:style w:type="paragraph" w:styleId="16">
    <w:name w:val="Body Text First Indent"/>
    <w:basedOn w:val="9"/>
    <w:qFormat/>
    <w:uiPriority w:val="0"/>
    <w:pPr>
      <w:tabs>
        <w:tab w:val="left" w:pos="720"/>
      </w:tabs>
      <w:spacing w:after="120"/>
      <w:ind w:firstLine="420" w:firstLineChars="100"/>
    </w:pPr>
    <w:rPr>
      <w:rFonts w:ascii="Times New Roman"/>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annotation reference"/>
    <w:basedOn w:val="19"/>
    <w:qFormat/>
    <w:uiPriority w:val="0"/>
    <w:rPr>
      <w:sz w:val="21"/>
      <w:szCs w:val="21"/>
    </w:rPr>
  </w:style>
  <w:style w:type="paragraph" w:customStyle="1" w:styleId="21">
    <w:name w:val="p0"/>
    <w:basedOn w:val="1"/>
    <w:qFormat/>
    <w:uiPriority w:val="0"/>
    <w:pPr>
      <w:widowControl/>
    </w:pPr>
    <w:rPr>
      <w:kern w:val="0"/>
      <w:szCs w:val="21"/>
    </w:rPr>
  </w:style>
  <w:style w:type="character" w:customStyle="1" w:styleId="22">
    <w:name w:val="Heading 1 Char"/>
    <w:link w:val="3"/>
    <w:qFormat/>
    <w:uiPriority w:val="0"/>
    <w:rPr>
      <w:rFonts w:ascii="Calibri" w:hAnsi="Calibri" w:eastAsia="宋体"/>
      <w:b/>
      <w:kern w:val="44"/>
      <w:sz w:val="28"/>
    </w:rPr>
  </w:style>
  <w:style w:type="paragraph" w:customStyle="1" w:styleId="23">
    <w:name w:val="_Style 1"/>
    <w:basedOn w:val="1"/>
    <w:qFormat/>
    <w:uiPriority w:val="0"/>
    <w:pPr>
      <w:ind w:firstLine="420" w:firstLineChars="200"/>
    </w:pPr>
    <w:rPr>
      <w:szCs w:val="24"/>
    </w:rPr>
  </w:style>
  <w:style w:type="paragraph" w:customStyle="1" w:styleId="24">
    <w:name w:val="彩色列表 - 强调文字颜色 11"/>
    <w:basedOn w:val="1"/>
    <w:qFormat/>
    <w:uiPriority w:val="0"/>
    <w:pPr>
      <w:widowControl/>
      <w:ind w:firstLine="420" w:firstLineChars="200"/>
      <w:jc w:val="left"/>
    </w:pPr>
    <w:rPr>
      <w:lang w:val="da-DK" w:eastAsia="da-DK"/>
    </w:rPr>
  </w:style>
  <w:style w:type="paragraph" w:customStyle="1" w:styleId="25">
    <w:name w:val="列出段落11"/>
    <w:basedOn w:val="1"/>
    <w:qFormat/>
    <w:uiPriority w:val="1"/>
    <w:pPr>
      <w:spacing w:line="300" w:lineRule="auto"/>
      <w:ind w:firstLine="420" w:firstLineChars="200"/>
    </w:pPr>
    <w:rPr>
      <w:szCs w:val="21"/>
    </w:rPr>
  </w:style>
  <w:style w:type="paragraph" w:customStyle="1" w:styleId="26">
    <w:name w:val="列出段落1"/>
    <w:basedOn w:val="1"/>
    <w:qFormat/>
    <w:uiPriority w:val="34"/>
    <w:pPr>
      <w:ind w:firstLine="420" w:firstLineChars="200"/>
    </w:pPr>
    <w:rPr>
      <w:rFonts w:ascii="Times New Roman"/>
      <w:sz w:val="21"/>
      <w:szCs w:val="24"/>
    </w:rPr>
  </w:style>
  <w:style w:type="character" w:customStyle="1" w:styleId="27">
    <w:name w:val="Balloon Text Char"/>
    <w:basedOn w:val="19"/>
    <w:link w:val="10"/>
    <w:qFormat/>
    <w:uiPriority w:val="0"/>
    <w:rPr>
      <w:rFonts w:cstheme="minorBidi"/>
      <w:kern w:val="2"/>
      <w:sz w:val="18"/>
      <w:szCs w:val="18"/>
    </w:rPr>
  </w:style>
  <w:style w:type="character" w:customStyle="1" w:styleId="28">
    <w:name w:val="占位符文本1"/>
    <w:basedOn w:val="19"/>
    <w:unhideWhenUsed/>
    <w:qFormat/>
    <w:uiPriority w:val="99"/>
    <w:rPr>
      <w:color w:val="808080"/>
    </w:rPr>
  </w:style>
  <w:style w:type="paragraph" w:customStyle="1" w:styleId="29">
    <w:name w:val="Table Paragraph"/>
    <w:basedOn w:val="1"/>
    <w:qFormat/>
    <w:uiPriority w:val="1"/>
    <w:pPr>
      <w:jc w:val="center"/>
    </w:pPr>
    <w:rPr>
      <w:rFonts w:ascii="Times New Roman" w:hAnsi="Times New Roman" w:eastAsia="Times New Roman" w:cs="Times New Roman"/>
    </w:rPr>
  </w:style>
  <w:style w:type="character" w:customStyle="1" w:styleId="30">
    <w:name w:val="yxNone"/>
    <w:basedOn w:val="19"/>
    <w:qFormat/>
    <w:uiPriority w:val="0"/>
  </w:style>
  <w:style w:type="character" w:customStyle="1" w:styleId="31">
    <w:name w:val="yxExternal"/>
    <w:basedOn w:val="19"/>
    <w:qFormat/>
    <w:uiPriority w:val="0"/>
    <w:rPr>
      <w:rFonts w:ascii="Courier New" w:hAnsi="Courier New" w:cs="宋体"/>
      <w:b/>
      <w:bCs/>
      <w:color w:val="808080"/>
      <w:sz w:val="44"/>
      <w:szCs w:val="44"/>
    </w:rPr>
  </w:style>
  <w:style w:type="character" w:customStyle="1" w:styleId="32">
    <w:name w:val="yxPopup"/>
    <w:basedOn w:val="19"/>
    <w:qFormat/>
    <w:uiPriority w:val="0"/>
    <w:rPr>
      <w:rFonts w:ascii="Courier New" w:hAnsi="Courier New" w:cs="宋体"/>
      <w:b/>
      <w:bCs/>
      <w:color w:val="008000"/>
      <w:sz w:val="44"/>
      <w:szCs w:val="44"/>
    </w:rPr>
  </w:style>
  <w:style w:type="character" w:customStyle="1" w:styleId="33">
    <w:name w:val="yxJump"/>
    <w:basedOn w:val="19"/>
    <w:qFormat/>
    <w:uiPriority w:val="0"/>
    <w:rPr>
      <w:rFonts w:ascii="Courier New" w:hAnsi="Courier New" w:cs="宋体"/>
      <w:b/>
      <w:bCs/>
      <w:color w:val="008080"/>
      <w:sz w:val="44"/>
      <w:szCs w:val="44"/>
    </w:rPr>
  </w:style>
  <w:style w:type="character" w:customStyle="1" w:styleId="34">
    <w:name w:val="yxInternal"/>
    <w:basedOn w:val="19"/>
    <w:qFormat/>
    <w:uiPriority w:val="0"/>
    <w:rPr>
      <w:rFonts w:ascii="Courier New" w:hAnsi="Courier New" w:cs="宋体"/>
      <w:b/>
      <w:bCs/>
      <w:color w:val="FF0000"/>
      <w:sz w:val="44"/>
      <w:szCs w:val="44"/>
    </w:rPr>
  </w:style>
  <w:style w:type="character" w:customStyle="1" w:styleId="35">
    <w:name w:val="yxMark"/>
    <w:basedOn w:val="19"/>
    <w:qFormat/>
    <w:uiPriority w:val="0"/>
    <w:rPr>
      <w:rFonts w:ascii="Courier New" w:hAnsi="Courier New" w:cs="宋体"/>
      <w:b/>
      <w:bCs/>
      <w:vanish/>
      <w:color w:val="800000"/>
      <w:sz w:val="44"/>
      <w:szCs w:val="44"/>
      <w:vertAlign w:val="subscript"/>
    </w:rPr>
  </w:style>
  <w:style w:type="character" w:customStyle="1" w:styleId="36">
    <w:name w:val="Comment Text Char"/>
    <w:basedOn w:val="19"/>
    <w:link w:val="8"/>
    <w:qFormat/>
    <w:uiPriority w:val="0"/>
    <w:rPr>
      <w:rFonts w:cstheme="minorBidi"/>
      <w:kern w:val="2"/>
      <w:sz w:val="24"/>
      <w:szCs w:val="22"/>
    </w:rPr>
  </w:style>
  <w:style w:type="character" w:customStyle="1" w:styleId="37">
    <w:name w:val="Comment Subject Char"/>
    <w:basedOn w:val="36"/>
    <w:link w:val="15"/>
    <w:qFormat/>
    <w:uiPriority w:val="0"/>
    <w:rPr>
      <w:rFonts w:cstheme="minorBidi"/>
      <w:b/>
      <w:bCs/>
      <w:kern w:val="2"/>
      <w:sz w:val="24"/>
      <w:szCs w:val="22"/>
    </w:rPr>
  </w:style>
  <w:style w:type="paragraph" w:customStyle="1" w:styleId="38">
    <w:name w:val="修订1"/>
    <w:hidden/>
    <w:unhideWhenUsed/>
    <w:qFormat/>
    <w:uiPriority w:val="99"/>
    <w:rPr>
      <w:rFonts w:ascii="Calibri" w:hAnsi="Calibri" w:eastAsia="宋体" w:cstheme="minorBidi"/>
      <w:kern w:val="2"/>
      <w:sz w:val="24"/>
      <w:szCs w:val="22"/>
      <w:lang w:val="en-US" w:eastAsia="zh-CN" w:bidi="ar-SA"/>
    </w:rPr>
  </w:style>
  <w:style w:type="paragraph" w:styleId="39">
    <w:name w:val="List Paragraph"/>
    <w:basedOn w:val="1"/>
    <w:qFormat/>
    <w:uiPriority w:val="34"/>
    <w:pPr>
      <w:ind w:left="720"/>
      <w:contextualSpacing/>
    </w:pPr>
  </w:style>
  <w:style w:type="paragraph" w:customStyle="1" w:styleId="40">
    <w:name w:val="Heading #1|1"/>
    <w:basedOn w:val="1"/>
    <w:qFormat/>
    <w:uiPriority w:val="0"/>
    <w:pPr>
      <w:spacing w:after="340"/>
      <w:jc w:val="center"/>
      <w:outlineLvl w:val="0"/>
    </w:pPr>
    <w:rPr>
      <w:rFonts w:ascii="宋体" w:hAnsi="宋体" w:cs="宋体"/>
      <w:sz w:val="44"/>
      <w:szCs w:val="44"/>
      <w:lang w:val="zh-TW" w:eastAsia="zh-TW" w:bidi="zh-TW"/>
    </w:rPr>
  </w:style>
  <w:style w:type="paragraph" w:customStyle="1" w:styleId="41">
    <w:name w:val="Body text|1"/>
    <w:basedOn w:val="1"/>
    <w:qFormat/>
    <w:uiPriority w:val="0"/>
    <w:pPr>
      <w:spacing w:line="406" w:lineRule="auto"/>
    </w:pPr>
  </w:style>
  <w:style w:type="character" w:customStyle="1" w:styleId="42">
    <w:name w:val="Heading 4 Char"/>
    <w:basedOn w:val="19"/>
    <w:link w:val="5"/>
    <w:semiHidden/>
    <w:qFormat/>
    <w:uiPriority w:val="0"/>
    <w:rPr>
      <w:rFonts w:asciiTheme="majorHAnsi" w:hAnsiTheme="majorHAnsi" w:eastAsiaTheme="majorEastAsia" w:cstheme="majorBidi"/>
      <w:i/>
      <w:iCs/>
      <w:color w:val="2E75B6" w:themeColor="accent1" w:themeShade="BF"/>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72CC10-4E77-485A-80E0-2D86C6952363}">
  <ds:schemaRefs/>
</ds:datastoreItem>
</file>

<file path=docProps/app.xml><?xml version="1.0" encoding="utf-8"?>
<Properties xmlns="http://schemas.openxmlformats.org/officeDocument/2006/extended-properties" xmlns:vt="http://schemas.openxmlformats.org/officeDocument/2006/docPropsVTypes">
  <Template>Normal</Template>
  <Company>中国华电集团公司</Company>
  <Pages>7</Pages>
  <Words>2892</Words>
  <Characters>6452</Characters>
  <Lines>56</Lines>
  <Paragraphs>15</Paragraphs>
  <TotalTime>11</TotalTime>
  <ScaleCrop>false</ScaleCrop>
  <LinksUpToDate>false</LinksUpToDate>
  <CharactersWithSpaces>7795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2024-01-04T02:04:00Z</dcterms:created>
  <dc:creator>lenovo</dc:creator>
  <cp:lastModifiedBy>Gavin</cp:lastModifiedBy>
  <cp:lastPrinted>2023-02-06T01:50:00Z</cp:lastPrinted>
  <dcterms:modified xsi:type="dcterms:W3CDTF">2024-05-05T09:17:30Z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AABB0A2E71B744AC9443711D4D10CD3D</vt:lpwstr>
  </property>
</Properties>
</file>